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FE3" w14:textId="57D3B485" w:rsidR="004F673D" w:rsidRPr="00E41A7B" w:rsidRDefault="004F673D" w:rsidP="004F673D">
      <w:pPr>
        <w:spacing w:after="240"/>
        <w:rPr>
          <w:rFonts w:ascii="Times New Roman" w:hAnsi="Times New Roman"/>
          <w:b/>
          <w:bCs/>
          <w:sz w:val="28"/>
          <w:szCs w:val="28"/>
        </w:rPr>
      </w:pPr>
      <w:r w:rsidRPr="00E41A7B">
        <w:rPr>
          <w:rFonts w:ascii="Times New Roman" w:hAnsi="Times New Roman"/>
          <w:b/>
          <w:bCs/>
          <w:sz w:val="28"/>
          <w:szCs w:val="28"/>
        </w:rPr>
        <w:t>Ethical Authorship Guidelines for</w:t>
      </w:r>
      <w:r w:rsidRPr="00E41A7B">
        <w:rPr>
          <w:rFonts w:ascii="Times New Roman" w:hAnsi="Times New Roman"/>
          <w:b/>
          <w:bCs/>
          <w:i/>
          <w:iCs/>
          <w:sz w:val="28"/>
          <w:szCs w:val="28"/>
        </w:rPr>
        <w:t xml:space="preserve"> Nuytsia</w:t>
      </w:r>
    </w:p>
    <w:p w14:paraId="03A783DB"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 xml:space="preserve">Under the </w:t>
      </w:r>
      <w:r w:rsidRPr="00E41A7B">
        <w:rPr>
          <w:rFonts w:ascii="Times New Roman" w:hAnsi="Times New Roman"/>
          <w:i/>
          <w:iCs/>
          <w:szCs w:val="24"/>
        </w:rPr>
        <w:t>Australian</w:t>
      </w:r>
      <w:r w:rsidRPr="00E41A7B">
        <w:rPr>
          <w:rFonts w:ascii="Times New Roman" w:hAnsi="Times New Roman"/>
          <w:szCs w:val="24"/>
        </w:rPr>
        <w:t xml:space="preserve"> </w:t>
      </w:r>
      <w:r w:rsidRPr="00E41A7B">
        <w:rPr>
          <w:rFonts w:ascii="Times New Roman" w:hAnsi="Times New Roman"/>
          <w:i/>
          <w:iCs/>
          <w:szCs w:val="24"/>
        </w:rPr>
        <w:t>Code for the Responsible Conduct of Research</w:t>
      </w:r>
      <w:r w:rsidRPr="00E41A7B">
        <w:rPr>
          <w:rFonts w:ascii="Times New Roman" w:hAnsi="Times New Roman"/>
          <w:szCs w:val="24"/>
          <w:vertAlign w:val="superscript"/>
        </w:rPr>
        <w:t>1</w:t>
      </w:r>
      <w:r w:rsidRPr="00E41A7B">
        <w:rPr>
          <w:rFonts w:ascii="Times New Roman" w:hAnsi="Times New Roman"/>
          <w:szCs w:val="24"/>
        </w:rPr>
        <w:t xml:space="preserve"> it is expected that scientific research is undertaken in an ethical and honest manner. While the responsibility for this lies with the individuals involved in undertaking research, it is appropriate that </w:t>
      </w:r>
      <w:r w:rsidRPr="00E41A7B">
        <w:rPr>
          <w:rFonts w:ascii="Times New Roman" w:hAnsi="Times New Roman"/>
          <w:i/>
          <w:iCs/>
          <w:szCs w:val="24"/>
        </w:rPr>
        <w:t>Nuytsia</w:t>
      </w:r>
      <w:r w:rsidRPr="00E41A7B">
        <w:rPr>
          <w:rFonts w:ascii="Times New Roman" w:hAnsi="Times New Roman"/>
          <w:szCs w:val="24"/>
        </w:rPr>
        <w:t xml:space="preserve"> also employs clear guidelines that support a culture of transparency and integrity by clearly stating the standards expected to justify Authorship.  Resources are also available from the Committee on Publication Ethics (</w:t>
      </w:r>
      <w:hyperlink r:id="rId10">
        <w:r w:rsidRPr="00E41A7B">
          <w:rPr>
            <w:rStyle w:val="Hyperlink"/>
            <w:rFonts w:ascii="Times New Roman" w:hAnsi="Times New Roman"/>
            <w:szCs w:val="24"/>
          </w:rPr>
          <w:t>COPE</w:t>
        </w:r>
      </w:hyperlink>
      <w:r w:rsidRPr="00E41A7B">
        <w:rPr>
          <w:rFonts w:ascii="Times New Roman" w:hAnsi="Times New Roman"/>
          <w:szCs w:val="24"/>
        </w:rPr>
        <w:t>) regarding best practices for ethical authorship.</w:t>
      </w:r>
    </w:p>
    <w:p w14:paraId="4C7A1A9C"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 xml:space="preserve">Ethical guidelines for </w:t>
      </w:r>
      <w:r w:rsidRPr="00E41A7B">
        <w:rPr>
          <w:rFonts w:ascii="Times New Roman" w:hAnsi="Times New Roman"/>
          <w:i/>
          <w:iCs/>
          <w:szCs w:val="24"/>
        </w:rPr>
        <w:t xml:space="preserve">Nuytsia </w:t>
      </w:r>
      <w:r w:rsidRPr="00E41A7B">
        <w:rPr>
          <w:rFonts w:ascii="Times New Roman" w:hAnsi="Times New Roman"/>
          <w:szCs w:val="24"/>
        </w:rPr>
        <w:t>have been developed to ensure all authors:</w:t>
      </w:r>
    </w:p>
    <w:p w14:paraId="035BB967"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 xml:space="preserve">agree to the final manuscript and revision(s) submitted to the </w:t>
      </w:r>
      <w:proofErr w:type="gramStart"/>
      <w:r w:rsidRPr="00E41A7B">
        <w:rPr>
          <w:rFonts w:ascii="Times New Roman" w:hAnsi="Times New Roman" w:cs="Times New Roman"/>
          <w:sz w:val="24"/>
          <w:szCs w:val="24"/>
        </w:rPr>
        <w:t>journal;</w:t>
      </w:r>
      <w:proofErr w:type="gramEnd"/>
    </w:p>
    <w:p w14:paraId="70E45904"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disclose any potential conflicts of interest (financial or non-financial interests that may be a perceived, potential, or actual conflicts of interest</w:t>
      </w:r>
      <w:proofErr w:type="gramStart"/>
      <w:r w:rsidRPr="00E41A7B">
        <w:rPr>
          <w:rFonts w:ascii="Times New Roman" w:hAnsi="Times New Roman" w:cs="Times New Roman"/>
          <w:sz w:val="24"/>
          <w:szCs w:val="24"/>
        </w:rPr>
        <w:t>);</w:t>
      </w:r>
      <w:proofErr w:type="gramEnd"/>
    </w:p>
    <w:p w14:paraId="0337DBED"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meet conditions to ensure they warrant authorship (see Author contributions</w:t>
      </w:r>
      <w:proofErr w:type="gramStart"/>
      <w:r w:rsidRPr="00E41A7B">
        <w:rPr>
          <w:rFonts w:ascii="Times New Roman" w:hAnsi="Times New Roman" w:cs="Times New Roman"/>
          <w:sz w:val="24"/>
          <w:szCs w:val="24"/>
        </w:rPr>
        <w:t>);</w:t>
      </w:r>
      <w:proofErr w:type="gramEnd"/>
    </w:p>
    <w:p w14:paraId="10FCD51D"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acknowledge others who have contributed to the research; and</w:t>
      </w:r>
    </w:p>
    <w:p w14:paraId="4E886DFD"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cite other relevant work accurately.</w:t>
      </w:r>
    </w:p>
    <w:p w14:paraId="62F05315" w14:textId="5BD3FE17" w:rsidR="004F673D" w:rsidRPr="00E41A7B" w:rsidRDefault="004F673D" w:rsidP="004F673D">
      <w:pPr>
        <w:spacing w:after="240"/>
        <w:rPr>
          <w:rFonts w:ascii="Times New Roman" w:hAnsi="Times New Roman"/>
          <w:szCs w:val="24"/>
        </w:rPr>
      </w:pPr>
      <w:r w:rsidRPr="00E41A7B">
        <w:rPr>
          <w:rFonts w:ascii="Times New Roman" w:hAnsi="Times New Roman"/>
          <w:szCs w:val="24"/>
        </w:rPr>
        <w:t xml:space="preserve">Corresponding authors will need to complete a </w:t>
      </w:r>
      <w:hyperlink r:id="rId11" w:history="1">
        <w:r w:rsidRPr="00E41A7B">
          <w:rPr>
            <w:rStyle w:val="Hyperlink"/>
            <w:rFonts w:ascii="Times New Roman" w:hAnsi="Times New Roman"/>
            <w:b/>
            <w:bCs/>
            <w:szCs w:val="24"/>
          </w:rPr>
          <w:t>submission form</w:t>
        </w:r>
      </w:hyperlink>
      <w:r w:rsidRPr="00E41A7B">
        <w:rPr>
          <w:rFonts w:ascii="Times New Roman" w:hAnsi="Times New Roman"/>
          <w:szCs w:val="24"/>
        </w:rPr>
        <w:t xml:space="preserve"> for any manuscript submitted for publication in </w:t>
      </w:r>
      <w:r w:rsidRPr="00E41A7B">
        <w:rPr>
          <w:rFonts w:ascii="Times New Roman" w:hAnsi="Times New Roman"/>
          <w:i/>
          <w:iCs/>
          <w:szCs w:val="24"/>
        </w:rPr>
        <w:t>Nuytsia</w:t>
      </w:r>
      <w:r w:rsidRPr="00E41A7B">
        <w:rPr>
          <w:rFonts w:ascii="Times New Roman" w:hAnsi="Times New Roman"/>
          <w:szCs w:val="24"/>
        </w:rPr>
        <w:t>.</w:t>
      </w:r>
    </w:p>
    <w:p w14:paraId="38B0341B" w14:textId="77777777" w:rsidR="004F673D" w:rsidRPr="00E41A7B" w:rsidRDefault="004F673D" w:rsidP="004F673D">
      <w:pPr>
        <w:spacing w:after="240"/>
        <w:rPr>
          <w:rFonts w:ascii="Times New Roman" w:hAnsi="Times New Roman"/>
          <w:b/>
          <w:bCs/>
          <w:szCs w:val="24"/>
        </w:rPr>
      </w:pPr>
      <w:r w:rsidRPr="00E41A7B">
        <w:rPr>
          <w:rFonts w:ascii="Times New Roman" w:hAnsi="Times New Roman"/>
          <w:b/>
          <w:bCs/>
          <w:szCs w:val="24"/>
        </w:rPr>
        <w:t>Author contributions</w:t>
      </w:r>
    </w:p>
    <w:p w14:paraId="5ACBC3BA"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 xml:space="preserve">Recommendation 25 of the </w:t>
      </w:r>
      <w:r w:rsidRPr="00E41A7B">
        <w:rPr>
          <w:rFonts w:ascii="Times New Roman" w:hAnsi="Times New Roman"/>
          <w:i/>
          <w:iCs/>
          <w:szCs w:val="24"/>
        </w:rPr>
        <w:t>Australian</w:t>
      </w:r>
      <w:r w:rsidRPr="00E41A7B">
        <w:rPr>
          <w:rFonts w:ascii="Times New Roman" w:hAnsi="Times New Roman"/>
          <w:szCs w:val="24"/>
        </w:rPr>
        <w:t xml:space="preserve"> </w:t>
      </w:r>
      <w:r w:rsidRPr="00E41A7B">
        <w:rPr>
          <w:rFonts w:ascii="Times New Roman" w:hAnsi="Times New Roman"/>
          <w:i/>
          <w:iCs/>
          <w:szCs w:val="24"/>
        </w:rPr>
        <w:t>Code for the Responsible Conduct of Research</w:t>
      </w:r>
      <w:r w:rsidRPr="00E41A7B">
        <w:rPr>
          <w:rFonts w:ascii="Times New Roman" w:hAnsi="Times New Roman"/>
          <w:szCs w:val="24"/>
          <w:vertAlign w:val="superscript"/>
        </w:rPr>
        <w:t>1</w:t>
      </w:r>
      <w:r w:rsidRPr="00E41A7B">
        <w:rPr>
          <w:rFonts w:ascii="Times New Roman" w:hAnsi="Times New Roman"/>
          <w:i/>
          <w:iCs/>
          <w:szCs w:val="24"/>
        </w:rPr>
        <w:t xml:space="preserve"> </w:t>
      </w:r>
      <w:r w:rsidRPr="00E41A7B">
        <w:rPr>
          <w:rFonts w:ascii="Times New Roman" w:hAnsi="Times New Roman"/>
          <w:szCs w:val="24"/>
        </w:rPr>
        <w:t xml:space="preserve">states that authors “are all those, and only those, who have made a significant intellectual or scholarly contribution to the research and its output, and that they agree to be listed as an author.” </w:t>
      </w:r>
    </w:p>
    <w:p w14:paraId="5620A131" w14:textId="77777777" w:rsidR="004F673D" w:rsidRPr="00E41A7B" w:rsidRDefault="004F673D" w:rsidP="004F673D">
      <w:pPr>
        <w:spacing w:after="240"/>
        <w:rPr>
          <w:rFonts w:ascii="Times New Roman" w:hAnsi="Times New Roman"/>
          <w:szCs w:val="24"/>
          <w:shd w:val="clear" w:color="auto" w:fill="FFFFFF"/>
        </w:rPr>
      </w:pPr>
      <w:r w:rsidRPr="00E41A7B">
        <w:rPr>
          <w:rFonts w:ascii="Times New Roman" w:hAnsi="Times New Roman"/>
          <w:szCs w:val="24"/>
          <w:shd w:val="clear" w:color="auto" w:fill="FFFFFF"/>
        </w:rPr>
        <w:t xml:space="preserve">To provide guidance as to what constitutes a significant contribution, </w:t>
      </w:r>
      <w:r w:rsidRPr="00E41A7B">
        <w:rPr>
          <w:rFonts w:ascii="Times New Roman" w:hAnsi="Times New Roman"/>
          <w:i/>
          <w:iCs/>
          <w:szCs w:val="24"/>
          <w:shd w:val="clear" w:color="auto" w:fill="FFFFFF"/>
        </w:rPr>
        <w:t xml:space="preserve">Nuytsia </w:t>
      </w:r>
      <w:r w:rsidRPr="00E41A7B">
        <w:rPr>
          <w:rFonts w:ascii="Times New Roman" w:hAnsi="Times New Roman"/>
          <w:szCs w:val="24"/>
          <w:shd w:val="clear" w:color="auto" w:fill="FFFFFF"/>
        </w:rPr>
        <w:t>generally</w:t>
      </w:r>
      <w:r w:rsidRPr="00E41A7B">
        <w:rPr>
          <w:rFonts w:ascii="Times New Roman" w:hAnsi="Times New Roman"/>
          <w:i/>
          <w:iCs/>
          <w:szCs w:val="24"/>
          <w:shd w:val="clear" w:color="auto" w:fill="FFFFFF"/>
        </w:rPr>
        <w:t xml:space="preserve"> </w:t>
      </w:r>
      <w:r w:rsidRPr="00E41A7B">
        <w:rPr>
          <w:rFonts w:ascii="Times New Roman" w:hAnsi="Times New Roman"/>
          <w:szCs w:val="24"/>
          <w:shd w:val="clear" w:color="auto" w:fill="FFFFFF"/>
        </w:rPr>
        <w:t>follows the criteria outlined by the International Committee of Medical Journal Editors (ICMJE)</w:t>
      </w:r>
      <w:r w:rsidRPr="00E41A7B">
        <w:rPr>
          <w:rFonts w:ascii="Times New Roman" w:hAnsi="Times New Roman"/>
          <w:szCs w:val="24"/>
          <w:vertAlign w:val="superscript"/>
        </w:rPr>
        <w:t xml:space="preserve"> 2</w:t>
      </w:r>
      <w:r w:rsidRPr="00E41A7B">
        <w:rPr>
          <w:rFonts w:ascii="Times New Roman" w:hAnsi="Times New Roman"/>
          <w:szCs w:val="24"/>
          <w:shd w:val="clear" w:color="auto" w:fill="FFFFFF"/>
        </w:rPr>
        <w:t xml:space="preserve"> necessary to warrant authorship.</w:t>
      </w:r>
    </w:p>
    <w:p w14:paraId="3CD4C0D9" w14:textId="77777777" w:rsidR="004F673D" w:rsidRPr="00E41A7B" w:rsidRDefault="004F673D" w:rsidP="004F673D">
      <w:pPr>
        <w:shd w:val="clear" w:color="auto" w:fill="FFFFFF" w:themeFill="background1"/>
        <w:spacing w:after="240" w:line="270" w:lineRule="atLeast"/>
        <w:rPr>
          <w:rFonts w:ascii="Times New Roman" w:hAnsi="Times New Roman"/>
          <w:szCs w:val="24"/>
          <w:lang w:eastAsia="en-AU"/>
        </w:rPr>
      </w:pPr>
      <w:r w:rsidRPr="00E41A7B">
        <w:rPr>
          <w:rFonts w:ascii="Times New Roman" w:hAnsi="Times New Roman"/>
          <w:szCs w:val="24"/>
          <w:lang w:eastAsia="en-AU"/>
        </w:rPr>
        <w:t> Authors must meet the following conditions:</w:t>
      </w:r>
    </w:p>
    <w:p w14:paraId="48F71BD3" w14:textId="39911A3B" w:rsidR="004F673D" w:rsidRPr="00E41A7B" w:rsidRDefault="004F673D" w:rsidP="004F673D">
      <w:pPr>
        <w:pStyle w:val="ListParagraph"/>
        <w:numPr>
          <w:ilvl w:val="0"/>
          <w:numId w:val="19"/>
        </w:numPr>
        <w:shd w:val="clear" w:color="auto" w:fill="FFFFFF" w:themeFill="background1"/>
        <w:tabs>
          <w:tab w:val="clear" w:pos="720"/>
          <w:tab w:val="num" w:pos="567"/>
        </w:tabs>
        <w:spacing w:after="120" w:line="240" w:lineRule="auto"/>
        <w:ind w:left="568" w:hanging="284"/>
        <w:rPr>
          <w:rFonts w:ascii="Times New Roman" w:eastAsia="Times New Roman" w:hAnsi="Times New Roman" w:cs="Times New Roman"/>
          <w:sz w:val="24"/>
          <w:szCs w:val="24"/>
          <w:lang w:eastAsia="en-AU"/>
        </w:rPr>
      </w:pPr>
      <w:r w:rsidRPr="00E41A7B">
        <w:rPr>
          <w:rFonts w:ascii="Times New Roman" w:eastAsia="Times New Roman" w:hAnsi="Times New Roman" w:cs="Times New Roman"/>
          <w:sz w:val="24"/>
          <w:szCs w:val="24"/>
          <w:lang w:eastAsia="en-AU"/>
        </w:rPr>
        <w:t xml:space="preserve">Substantial contributions to the conception or design of the work; or the acquisition, analysis, or interpretation of data for the </w:t>
      </w:r>
      <w:proofErr w:type="gramStart"/>
      <w:r w:rsidRPr="00E41A7B">
        <w:rPr>
          <w:rFonts w:ascii="Times New Roman" w:eastAsia="Times New Roman" w:hAnsi="Times New Roman" w:cs="Times New Roman"/>
          <w:sz w:val="24"/>
          <w:szCs w:val="24"/>
          <w:lang w:eastAsia="en-AU"/>
        </w:rPr>
        <w:t>work;</w:t>
      </w:r>
      <w:proofErr w:type="gramEnd"/>
      <w:r w:rsidRPr="00E41A7B">
        <w:rPr>
          <w:rFonts w:ascii="Times New Roman" w:eastAsia="Times New Roman" w:hAnsi="Times New Roman" w:cs="Times New Roman"/>
          <w:sz w:val="24"/>
          <w:szCs w:val="24"/>
          <w:lang w:eastAsia="en-AU"/>
        </w:rPr>
        <w:t xml:space="preserve"> </w:t>
      </w:r>
    </w:p>
    <w:p w14:paraId="4AF34312" w14:textId="0EA82154" w:rsidR="004F673D" w:rsidRPr="00E41A7B" w:rsidRDefault="004F673D" w:rsidP="004F673D">
      <w:pPr>
        <w:numPr>
          <w:ilvl w:val="0"/>
          <w:numId w:val="19"/>
        </w:numPr>
        <w:shd w:val="clear" w:color="auto" w:fill="FFFFFF" w:themeFill="background1"/>
        <w:tabs>
          <w:tab w:val="clear" w:pos="720"/>
          <w:tab w:val="num" w:pos="567"/>
        </w:tabs>
        <w:spacing w:after="120"/>
        <w:ind w:left="568" w:hanging="284"/>
        <w:rPr>
          <w:rFonts w:ascii="Times New Roman" w:hAnsi="Times New Roman"/>
          <w:szCs w:val="24"/>
          <w:lang w:eastAsia="en-AU"/>
        </w:rPr>
      </w:pPr>
      <w:r w:rsidRPr="00E41A7B">
        <w:rPr>
          <w:rFonts w:ascii="Times New Roman" w:hAnsi="Times New Roman"/>
          <w:szCs w:val="24"/>
          <w:lang w:eastAsia="en-AU"/>
        </w:rPr>
        <w:t xml:space="preserve">Drafting the work or revising it critically for important intellectual </w:t>
      </w:r>
      <w:proofErr w:type="gramStart"/>
      <w:r w:rsidRPr="00E41A7B">
        <w:rPr>
          <w:rFonts w:ascii="Times New Roman" w:hAnsi="Times New Roman"/>
          <w:szCs w:val="24"/>
          <w:lang w:eastAsia="en-AU"/>
        </w:rPr>
        <w:t>content;</w:t>
      </w:r>
      <w:proofErr w:type="gramEnd"/>
      <w:r w:rsidRPr="00E41A7B">
        <w:rPr>
          <w:rFonts w:ascii="Times New Roman" w:hAnsi="Times New Roman"/>
          <w:szCs w:val="24"/>
          <w:lang w:eastAsia="en-AU"/>
        </w:rPr>
        <w:t xml:space="preserve"> </w:t>
      </w:r>
    </w:p>
    <w:p w14:paraId="7160E613" w14:textId="63134976" w:rsidR="004F673D" w:rsidRPr="00E41A7B" w:rsidRDefault="004F673D" w:rsidP="004F673D">
      <w:pPr>
        <w:numPr>
          <w:ilvl w:val="0"/>
          <w:numId w:val="19"/>
        </w:numPr>
        <w:shd w:val="clear" w:color="auto" w:fill="FFFFFF" w:themeFill="background1"/>
        <w:tabs>
          <w:tab w:val="clear" w:pos="720"/>
          <w:tab w:val="num" w:pos="567"/>
        </w:tabs>
        <w:spacing w:after="120"/>
        <w:ind w:left="568" w:hanging="284"/>
        <w:rPr>
          <w:rFonts w:ascii="Times New Roman" w:hAnsi="Times New Roman"/>
          <w:szCs w:val="24"/>
          <w:lang w:eastAsia="en-AU"/>
        </w:rPr>
      </w:pPr>
      <w:r w:rsidRPr="00E41A7B">
        <w:rPr>
          <w:rFonts w:ascii="Times New Roman" w:hAnsi="Times New Roman"/>
          <w:szCs w:val="24"/>
          <w:lang w:eastAsia="en-AU"/>
        </w:rPr>
        <w:t xml:space="preserve">Final approval of the version to be </w:t>
      </w:r>
      <w:proofErr w:type="gramStart"/>
      <w:r w:rsidRPr="00E41A7B">
        <w:rPr>
          <w:rFonts w:ascii="Times New Roman" w:hAnsi="Times New Roman"/>
          <w:szCs w:val="24"/>
          <w:lang w:eastAsia="en-AU"/>
        </w:rPr>
        <w:t>published;</w:t>
      </w:r>
      <w:proofErr w:type="gramEnd"/>
      <w:r w:rsidRPr="00E41A7B">
        <w:rPr>
          <w:rFonts w:ascii="Times New Roman" w:hAnsi="Times New Roman"/>
          <w:szCs w:val="24"/>
          <w:lang w:eastAsia="en-AU"/>
        </w:rPr>
        <w:t xml:space="preserve"> </w:t>
      </w:r>
    </w:p>
    <w:p w14:paraId="2D674D42" w14:textId="77777777" w:rsidR="004F673D" w:rsidRPr="00E41A7B" w:rsidRDefault="004F673D" w:rsidP="004F673D">
      <w:pPr>
        <w:numPr>
          <w:ilvl w:val="0"/>
          <w:numId w:val="19"/>
        </w:numPr>
        <w:shd w:val="clear" w:color="auto" w:fill="FFFFFF" w:themeFill="background1"/>
        <w:tabs>
          <w:tab w:val="clear" w:pos="720"/>
          <w:tab w:val="num" w:pos="567"/>
        </w:tabs>
        <w:spacing w:after="120"/>
        <w:ind w:left="568" w:hanging="284"/>
        <w:rPr>
          <w:rFonts w:ascii="Times New Roman" w:hAnsi="Times New Roman"/>
          <w:szCs w:val="24"/>
          <w:lang w:eastAsia="en-AU"/>
        </w:rPr>
      </w:pPr>
      <w:r w:rsidRPr="00E41A7B">
        <w:rPr>
          <w:rFonts w:ascii="Times New Roman" w:hAnsi="Times New Roman"/>
          <w:szCs w:val="24"/>
          <w:lang w:eastAsia="en-AU"/>
        </w:rPr>
        <w:t>Agreement to be accountable for all aspects of the work in ensuring that questions related to the accuracy or integrity of any part of the work are appropriately investigated and resolved.</w:t>
      </w:r>
    </w:p>
    <w:p w14:paraId="6F0B953F"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A researcher should not be attributed Authorship simply based on the provision of infrastructure, equipment, technical support, financial support, and materials or data. Authorship should also not be influenced by the following:</w:t>
      </w:r>
    </w:p>
    <w:p w14:paraId="2A697B8A"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the position or profession of an individual, such as their role as the author’s supervisor or head of department (“gift authorship”</w:t>
      </w:r>
      <w:proofErr w:type="gramStart"/>
      <w:r w:rsidRPr="00E41A7B">
        <w:rPr>
          <w:rFonts w:ascii="Times New Roman" w:hAnsi="Times New Roman" w:cs="Times New Roman"/>
          <w:sz w:val="24"/>
          <w:szCs w:val="24"/>
        </w:rPr>
        <w:t>);</w:t>
      </w:r>
      <w:proofErr w:type="gramEnd"/>
    </w:p>
    <w:p w14:paraId="2BB5151B"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t>whether the contribution was paid for or voluntary; nor</w:t>
      </w:r>
    </w:p>
    <w:p w14:paraId="5CF77A95" w14:textId="77777777" w:rsidR="004F673D" w:rsidRPr="00E41A7B" w:rsidRDefault="004F673D" w:rsidP="004F673D">
      <w:pPr>
        <w:pStyle w:val="ListParagraph"/>
        <w:numPr>
          <w:ilvl w:val="0"/>
          <w:numId w:val="18"/>
        </w:numPr>
        <w:spacing w:after="240"/>
        <w:ind w:left="567" w:hanging="283"/>
        <w:rPr>
          <w:rFonts w:ascii="Times New Roman" w:hAnsi="Times New Roman" w:cs="Times New Roman"/>
          <w:sz w:val="24"/>
          <w:szCs w:val="24"/>
        </w:rPr>
      </w:pPr>
      <w:r w:rsidRPr="00E41A7B">
        <w:rPr>
          <w:rFonts w:ascii="Times New Roman" w:hAnsi="Times New Roman" w:cs="Times New Roman"/>
          <w:sz w:val="24"/>
          <w:szCs w:val="24"/>
        </w:rPr>
        <w:lastRenderedPageBreak/>
        <w:t>the status of an individual who has not made a significant intellectual or scholarly contribution but would elevate the esteem of the research (“guest authorship”).</w:t>
      </w:r>
    </w:p>
    <w:p w14:paraId="1D2694CD" w14:textId="77777777" w:rsidR="004F673D" w:rsidRPr="00E41A7B" w:rsidRDefault="004F673D" w:rsidP="004F673D">
      <w:pPr>
        <w:shd w:val="clear" w:color="auto" w:fill="FFFFFF" w:themeFill="background1"/>
        <w:spacing w:after="240" w:line="270" w:lineRule="atLeast"/>
        <w:outlineLvl w:val="1"/>
        <w:rPr>
          <w:rFonts w:ascii="Times New Roman" w:hAnsi="Times New Roman"/>
          <w:color w:val="202020"/>
          <w:szCs w:val="24"/>
          <w:lang w:eastAsia="en-AU"/>
        </w:rPr>
      </w:pPr>
      <w:r w:rsidRPr="00E41A7B">
        <w:rPr>
          <w:rFonts w:ascii="Times New Roman" w:hAnsi="Times New Roman"/>
          <w:szCs w:val="24"/>
        </w:rPr>
        <w:t xml:space="preserve">Furthermore, all researchers that meet the conditions above in any given research should be awarded authorship. For example, it is unethical if the contribution of a junior researcher (e.g., postgraduate student, postdoc, volunteer etc.) is </w:t>
      </w:r>
      <w:proofErr w:type="spellStart"/>
      <w:r w:rsidRPr="00E41A7B">
        <w:rPr>
          <w:rFonts w:ascii="Times New Roman" w:hAnsi="Times New Roman"/>
          <w:szCs w:val="24"/>
        </w:rPr>
        <w:t>unrecognised</w:t>
      </w:r>
      <w:proofErr w:type="spellEnd"/>
      <w:r w:rsidRPr="00E41A7B">
        <w:rPr>
          <w:rFonts w:ascii="Times New Roman" w:hAnsi="Times New Roman"/>
          <w:szCs w:val="24"/>
        </w:rPr>
        <w:t xml:space="preserve"> even though they have participated in data generation, analyses, and writing/reviewing (“ghost authorship”).</w:t>
      </w:r>
    </w:p>
    <w:p w14:paraId="6C273AD0" w14:textId="765181E2" w:rsidR="004F673D" w:rsidRPr="00E41A7B" w:rsidRDefault="004F673D" w:rsidP="004F673D">
      <w:pPr>
        <w:shd w:val="clear" w:color="auto" w:fill="FFFFFF" w:themeFill="background1"/>
        <w:spacing w:after="240" w:line="270" w:lineRule="atLeast"/>
        <w:outlineLvl w:val="1"/>
        <w:rPr>
          <w:rFonts w:ascii="Times New Roman" w:hAnsi="Times New Roman"/>
          <w:szCs w:val="24"/>
          <w:lang w:eastAsia="en-AU"/>
        </w:rPr>
      </w:pPr>
      <w:r w:rsidRPr="00E41A7B">
        <w:rPr>
          <w:rFonts w:ascii="Times New Roman" w:hAnsi="Times New Roman"/>
          <w:szCs w:val="24"/>
          <w:lang w:eastAsia="en-AU"/>
        </w:rPr>
        <w:t xml:space="preserve">A perceived grey area can arise if </w:t>
      </w:r>
      <w:r w:rsidR="006152D1" w:rsidRPr="00E41A7B">
        <w:rPr>
          <w:rFonts w:ascii="Times New Roman" w:hAnsi="Times New Roman"/>
          <w:szCs w:val="24"/>
          <w:lang w:eastAsia="en-AU"/>
        </w:rPr>
        <w:t>collaborat</w:t>
      </w:r>
      <w:r w:rsidR="006654E7" w:rsidRPr="00E41A7B">
        <w:rPr>
          <w:rFonts w:ascii="Times New Roman" w:hAnsi="Times New Roman"/>
          <w:szCs w:val="24"/>
          <w:lang w:eastAsia="en-AU"/>
        </w:rPr>
        <w:t>ors</w:t>
      </w:r>
      <w:r w:rsidRPr="00E41A7B">
        <w:rPr>
          <w:rFonts w:ascii="Times New Roman" w:hAnsi="Times New Roman"/>
          <w:szCs w:val="24"/>
          <w:lang w:eastAsia="en-AU"/>
        </w:rPr>
        <w:t xml:space="preserve"> provide significant intellectual input in early discussions and in obtaining the data but are perhaps less involved in the analyses and writing of a paper (but may still contribute more time and expertise than other authors). In these cases, </w:t>
      </w:r>
      <w:r w:rsidRPr="00E41A7B">
        <w:rPr>
          <w:rFonts w:ascii="Times New Roman" w:hAnsi="Times New Roman"/>
          <w:i/>
          <w:iCs/>
          <w:szCs w:val="24"/>
          <w:lang w:eastAsia="en-AU"/>
        </w:rPr>
        <w:t xml:space="preserve">Nuytsia </w:t>
      </w:r>
      <w:r w:rsidRPr="00E41A7B">
        <w:rPr>
          <w:rFonts w:ascii="Times New Roman" w:hAnsi="Times New Roman"/>
          <w:szCs w:val="24"/>
          <w:lang w:eastAsia="en-AU"/>
        </w:rPr>
        <w:t>recommends that it is still important they are included as an author, as the research would not have been completed without them.</w:t>
      </w:r>
    </w:p>
    <w:p w14:paraId="38081C33" w14:textId="77777777" w:rsidR="004F673D" w:rsidRPr="00E41A7B" w:rsidRDefault="004F673D" w:rsidP="004F673D">
      <w:pPr>
        <w:shd w:val="clear" w:color="auto" w:fill="FFFFFF"/>
        <w:spacing w:after="240" w:line="270" w:lineRule="atLeast"/>
        <w:outlineLvl w:val="1"/>
        <w:rPr>
          <w:rFonts w:ascii="Times New Roman" w:hAnsi="Times New Roman"/>
          <w:b/>
          <w:bCs/>
          <w:color w:val="202020"/>
          <w:szCs w:val="24"/>
          <w:lang w:eastAsia="en-AU"/>
        </w:rPr>
      </w:pPr>
      <w:r w:rsidRPr="00E41A7B">
        <w:rPr>
          <w:rFonts w:ascii="Times New Roman" w:hAnsi="Times New Roman"/>
          <w:szCs w:val="24"/>
        </w:rPr>
        <w:t xml:space="preserve">Provision of financial support, infrastructure, equipment etc. should be appropriately </w:t>
      </w:r>
      <w:proofErr w:type="spellStart"/>
      <w:r w:rsidRPr="00E41A7B">
        <w:rPr>
          <w:rFonts w:ascii="Times New Roman" w:hAnsi="Times New Roman"/>
          <w:szCs w:val="24"/>
        </w:rPr>
        <w:t>recognised</w:t>
      </w:r>
      <w:proofErr w:type="spellEnd"/>
      <w:r w:rsidRPr="00E41A7B">
        <w:rPr>
          <w:rFonts w:ascii="Times New Roman" w:hAnsi="Times New Roman"/>
          <w:szCs w:val="24"/>
        </w:rPr>
        <w:t xml:space="preserve"> through the acknowledgements.</w:t>
      </w:r>
    </w:p>
    <w:p w14:paraId="1FDD9F7B" w14:textId="77777777" w:rsidR="004F673D" w:rsidRPr="00E41A7B" w:rsidRDefault="004F673D" w:rsidP="004F673D">
      <w:pPr>
        <w:spacing w:after="240"/>
        <w:rPr>
          <w:rFonts w:ascii="Times New Roman" w:hAnsi="Times New Roman"/>
          <w:b/>
          <w:bCs/>
          <w:szCs w:val="24"/>
        </w:rPr>
      </w:pPr>
      <w:r w:rsidRPr="00E41A7B">
        <w:rPr>
          <w:rFonts w:ascii="Times New Roman" w:hAnsi="Times New Roman"/>
          <w:b/>
          <w:bCs/>
          <w:szCs w:val="24"/>
        </w:rPr>
        <w:t>ORCID</w:t>
      </w:r>
    </w:p>
    <w:p w14:paraId="143C029C"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Authors may also provide their unique ORCID (Open Researcher and Contributor ID)</w:t>
      </w:r>
      <w:r w:rsidRPr="00E41A7B">
        <w:rPr>
          <w:rFonts w:ascii="Times New Roman" w:hAnsi="Times New Roman"/>
          <w:szCs w:val="24"/>
          <w:vertAlign w:val="superscript"/>
        </w:rPr>
        <w:t>4</w:t>
      </w:r>
      <w:r w:rsidRPr="00E41A7B">
        <w:rPr>
          <w:rFonts w:ascii="Times New Roman" w:hAnsi="Times New Roman"/>
          <w:szCs w:val="24"/>
        </w:rPr>
        <w:t xml:space="preserve"> number, which will be included in the author address section of the paper.</w:t>
      </w:r>
    </w:p>
    <w:p w14:paraId="5D3CD4BD" w14:textId="77777777" w:rsidR="004F673D" w:rsidRPr="00E41A7B" w:rsidRDefault="004F673D" w:rsidP="004F673D">
      <w:pPr>
        <w:shd w:val="clear" w:color="auto" w:fill="FFFFFF"/>
        <w:spacing w:after="240" w:line="270" w:lineRule="atLeast"/>
        <w:outlineLvl w:val="1"/>
        <w:rPr>
          <w:rFonts w:ascii="Times New Roman" w:hAnsi="Times New Roman"/>
          <w:b/>
          <w:bCs/>
          <w:color w:val="202020"/>
          <w:szCs w:val="24"/>
          <w:lang w:eastAsia="en-AU"/>
        </w:rPr>
      </w:pPr>
      <w:r w:rsidRPr="00E41A7B">
        <w:rPr>
          <w:rFonts w:ascii="Times New Roman" w:hAnsi="Times New Roman"/>
          <w:b/>
          <w:bCs/>
          <w:color w:val="202020"/>
          <w:szCs w:val="24"/>
          <w:lang w:eastAsia="en-AU"/>
        </w:rPr>
        <w:t>Acknowledgments</w:t>
      </w:r>
    </w:p>
    <w:p w14:paraId="01BA4E1A" w14:textId="77777777" w:rsidR="004F673D" w:rsidRPr="00E41A7B" w:rsidRDefault="004F673D" w:rsidP="004F673D">
      <w:pPr>
        <w:shd w:val="clear" w:color="auto" w:fill="FFFFFF"/>
        <w:spacing w:after="240" w:line="270" w:lineRule="atLeast"/>
        <w:rPr>
          <w:rFonts w:ascii="Times New Roman" w:hAnsi="Times New Roman"/>
          <w:color w:val="202020"/>
          <w:szCs w:val="24"/>
          <w:lang w:eastAsia="en-AU"/>
        </w:rPr>
      </w:pPr>
      <w:r w:rsidRPr="00E41A7B">
        <w:rPr>
          <w:rFonts w:ascii="Times New Roman" w:hAnsi="Times New Roman"/>
          <w:color w:val="202020"/>
          <w:szCs w:val="24"/>
          <w:lang w:eastAsia="en-AU"/>
        </w:rPr>
        <w:t>It is expected that any contributors that do not meet the criteria for authorship should be included in the Acknowledgments section. It is also understood that those being acknowledged in this manner will have given their consent. Acknowledgement of the Traditional Owners of the country where the research was conducted or compiled is also welcomed.</w:t>
      </w:r>
    </w:p>
    <w:p w14:paraId="6352DD16" w14:textId="77777777" w:rsidR="004F673D" w:rsidRPr="00E41A7B" w:rsidRDefault="004F673D" w:rsidP="004F673D">
      <w:pPr>
        <w:shd w:val="clear" w:color="auto" w:fill="FFFFFF"/>
        <w:spacing w:after="240" w:line="270" w:lineRule="atLeast"/>
        <w:rPr>
          <w:rFonts w:ascii="Times New Roman" w:hAnsi="Times New Roman"/>
          <w:b/>
          <w:bCs/>
          <w:color w:val="202020"/>
          <w:szCs w:val="24"/>
          <w:lang w:eastAsia="en-AU"/>
        </w:rPr>
      </w:pPr>
      <w:r w:rsidRPr="00E41A7B">
        <w:rPr>
          <w:rFonts w:ascii="Times New Roman" w:hAnsi="Times New Roman"/>
          <w:b/>
          <w:bCs/>
          <w:color w:val="202020"/>
          <w:szCs w:val="24"/>
          <w:lang w:eastAsia="en-AU"/>
        </w:rPr>
        <w:t xml:space="preserve">Nagoya compliance and collecting </w:t>
      </w:r>
      <w:proofErr w:type="gramStart"/>
      <w:r w:rsidRPr="00E41A7B">
        <w:rPr>
          <w:rFonts w:ascii="Times New Roman" w:hAnsi="Times New Roman"/>
          <w:b/>
          <w:bCs/>
          <w:color w:val="202020"/>
          <w:szCs w:val="24"/>
          <w:lang w:eastAsia="en-AU"/>
        </w:rPr>
        <w:t>permits</w:t>
      </w:r>
      <w:proofErr w:type="gramEnd"/>
    </w:p>
    <w:p w14:paraId="7CF8842F" w14:textId="77777777" w:rsidR="004F673D" w:rsidRPr="00E41A7B" w:rsidRDefault="004F673D" w:rsidP="004F673D">
      <w:pPr>
        <w:shd w:val="clear" w:color="auto" w:fill="FFFFFF" w:themeFill="background1"/>
        <w:spacing w:after="240" w:line="270" w:lineRule="atLeast"/>
        <w:rPr>
          <w:rFonts w:ascii="Times New Roman" w:hAnsi="Times New Roman"/>
          <w:color w:val="202020"/>
          <w:szCs w:val="24"/>
          <w:lang w:eastAsia="en-AU"/>
        </w:rPr>
      </w:pPr>
      <w:r w:rsidRPr="00E41A7B">
        <w:rPr>
          <w:rFonts w:ascii="Times New Roman" w:hAnsi="Times New Roman"/>
          <w:color w:val="202020"/>
          <w:szCs w:val="24"/>
          <w:lang w:eastAsia="en-AU"/>
        </w:rPr>
        <w:t>The Nagoya Protocol on Access and Benefit Sharing was adopted in 2010 and came into force on 12 October 2014. While Australia is yet to formally ratify the protocol, current legislations are coming into alignment to ensure compliance</w:t>
      </w:r>
      <w:r w:rsidRPr="00E41A7B">
        <w:rPr>
          <w:rFonts w:ascii="Times New Roman" w:hAnsi="Times New Roman"/>
          <w:color w:val="202020"/>
          <w:szCs w:val="24"/>
          <w:vertAlign w:val="superscript"/>
          <w:lang w:eastAsia="en-AU"/>
        </w:rPr>
        <w:t>5</w:t>
      </w:r>
      <w:r w:rsidRPr="00E41A7B">
        <w:rPr>
          <w:rFonts w:ascii="Times New Roman" w:hAnsi="Times New Roman"/>
          <w:color w:val="202020"/>
          <w:szCs w:val="24"/>
          <w:lang w:eastAsia="en-AU"/>
        </w:rPr>
        <w:t xml:space="preserve">. One outcome of this is that all herbarium specimens collected after 12 October 2014 must have been collected under an appropriate collection </w:t>
      </w:r>
      <w:proofErr w:type="spellStart"/>
      <w:r w:rsidRPr="00E41A7B">
        <w:rPr>
          <w:rFonts w:ascii="Times New Roman" w:hAnsi="Times New Roman"/>
          <w:color w:val="202020"/>
          <w:szCs w:val="24"/>
          <w:lang w:eastAsia="en-AU"/>
        </w:rPr>
        <w:t>licence</w:t>
      </w:r>
      <w:proofErr w:type="spellEnd"/>
      <w:r w:rsidRPr="00E41A7B">
        <w:rPr>
          <w:rFonts w:ascii="Times New Roman" w:hAnsi="Times New Roman"/>
          <w:color w:val="202020"/>
          <w:szCs w:val="24"/>
          <w:lang w:eastAsia="en-AU"/>
        </w:rPr>
        <w:t xml:space="preserve">, in accordance with most state’s legislation. As such, we encourage all authors to ensure specimens sited in their paper are collected under legal permits. </w:t>
      </w:r>
    </w:p>
    <w:p w14:paraId="64F40532" w14:textId="77777777" w:rsidR="004F673D" w:rsidRPr="00E41A7B" w:rsidRDefault="004F673D" w:rsidP="004F673D">
      <w:pPr>
        <w:shd w:val="clear" w:color="auto" w:fill="FFFFFF"/>
        <w:spacing w:after="240" w:line="270" w:lineRule="atLeast"/>
        <w:rPr>
          <w:rFonts w:ascii="Times New Roman" w:hAnsi="Times New Roman"/>
          <w:b/>
          <w:bCs/>
          <w:color w:val="202020"/>
          <w:szCs w:val="24"/>
          <w:lang w:eastAsia="en-AU"/>
        </w:rPr>
      </w:pPr>
      <w:r w:rsidRPr="00E41A7B">
        <w:rPr>
          <w:rFonts w:ascii="Times New Roman" w:hAnsi="Times New Roman"/>
          <w:b/>
          <w:bCs/>
          <w:color w:val="202020"/>
          <w:szCs w:val="24"/>
          <w:lang w:eastAsia="en-AU"/>
        </w:rPr>
        <w:t xml:space="preserve">Use of indigenous words </w:t>
      </w:r>
    </w:p>
    <w:p w14:paraId="00782E67" w14:textId="77777777" w:rsidR="004F673D" w:rsidRPr="00E41A7B" w:rsidRDefault="004F673D" w:rsidP="004F673D">
      <w:pPr>
        <w:shd w:val="clear" w:color="auto" w:fill="FFFFFF" w:themeFill="background1"/>
        <w:spacing w:after="240" w:line="270" w:lineRule="atLeast"/>
        <w:rPr>
          <w:rFonts w:ascii="Times New Roman" w:hAnsi="Times New Roman"/>
          <w:color w:val="202020"/>
          <w:szCs w:val="24"/>
          <w:lang w:eastAsia="en-AU"/>
        </w:rPr>
      </w:pPr>
      <w:r w:rsidRPr="00E41A7B">
        <w:rPr>
          <w:rFonts w:ascii="Times New Roman" w:hAnsi="Times New Roman"/>
          <w:i/>
          <w:iCs/>
          <w:color w:val="202020"/>
          <w:szCs w:val="24"/>
          <w:lang w:eastAsia="en-AU"/>
        </w:rPr>
        <w:t xml:space="preserve">Nuytsia </w:t>
      </w:r>
      <w:r w:rsidRPr="00E41A7B">
        <w:rPr>
          <w:rFonts w:ascii="Times New Roman" w:hAnsi="Times New Roman"/>
          <w:color w:val="202020"/>
          <w:szCs w:val="24"/>
          <w:lang w:eastAsia="en-AU"/>
        </w:rPr>
        <w:t>encourages the respectful use of Aboriginal and Torres Strait Islander knowledge and language, for example in constructing epithets to name novel taxa. However, this should only be done in close consultation and involvement with the relevant communities from which these names are derived and who are also acknowledged.</w:t>
      </w:r>
    </w:p>
    <w:p w14:paraId="0AFF43CB" w14:textId="77777777" w:rsidR="004F673D" w:rsidRPr="00E41A7B" w:rsidRDefault="004F673D" w:rsidP="004F673D">
      <w:pPr>
        <w:shd w:val="clear" w:color="auto" w:fill="FFFFFF" w:themeFill="background1"/>
        <w:spacing w:after="240" w:line="270" w:lineRule="atLeast"/>
        <w:rPr>
          <w:rFonts w:ascii="Times New Roman" w:hAnsi="Times New Roman"/>
          <w:b/>
          <w:bCs/>
          <w:color w:val="202020"/>
          <w:szCs w:val="24"/>
          <w:lang w:eastAsia="en-AU"/>
        </w:rPr>
      </w:pPr>
      <w:r w:rsidRPr="00E41A7B">
        <w:rPr>
          <w:rFonts w:ascii="Times New Roman" w:hAnsi="Times New Roman"/>
          <w:b/>
          <w:bCs/>
          <w:color w:val="202020"/>
          <w:szCs w:val="24"/>
          <w:lang w:eastAsia="en-AU"/>
        </w:rPr>
        <w:t>Management of submissions</w:t>
      </w:r>
    </w:p>
    <w:p w14:paraId="7DD86AB8"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 xml:space="preserve">Manuscripts submitted to </w:t>
      </w:r>
      <w:r w:rsidRPr="00E41A7B">
        <w:rPr>
          <w:rFonts w:ascii="Times New Roman" w:hAnsi="Times New Roman"/>
          <w:i/>
          <w:iCs/>
          <w:szCs w:val="24"/>
        </w:rPr>
        <w:t xml:space="preserve">Nuytsia </w:t>
      </w:r>
      <w:r w:rsidRPr="00E41A7B">
        <w:rPr>
          <w:rFonts w:ascii="Times New Roman" w:hAnsi="Times New Roman"/>
          <w:szCs w:val="24"/>
        </w:rPr>
        <w:t xml:space="preserve">undergo a peer review process and are treated in a confidential manner. Each paper is handled by an Editor who will decide to accept or reject </w:t>
      </w:r>
      <w:r w:rsidRPr="00E41A7B">
        <w:rPr>
          <w:rFonts w:ascii="Times New Roman" w:hAnsi="Times New Roman"/>
          <w:szCs w:val="24"/>
        </w:rPr>
        <w:lastRenderedPageBreak/>
        <w:t xml:space="preserve">the submission based on the review and their own assessment. A paper can also be rejected prior to the review process if it has been deemed to not meet minimal standards or the scope of the journal. An Editor may confer with the Managing Editor or other members of the Editorial committee to seek advice if necessary. Editors, like the Authors, must declare any conflict of interest in relation to a submission (e.g., previous differences with the authors or research conflicts) and the submission may be reassigned to a new handling Editor. </w:t>
      </w:r>
    </w:p>
    <w:p w14:paraId="7282FE3A"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Authors may also request that their manuscript not to be sent to a specific reviewer(s) if they believe their submission will not be treated without bias. We are not required to follow the author’s suggestions but will take the information under advisement. Editors are also encouraged to ensure manuscript reviews are fair, constructive, and the reviewer’s comments are worded appropriately such that they do not contain unprofessional langue or personal criticisms. Editors may request a reviewer to address any issues or may “soften” the language directly if deemed inappropriate.</w:t>
      </w:r>
    </w:p>
    <w:p w14:paraId="265FF686"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The Editor’s decision on a manuscript should be considered as final; however, if the author believes the manuscript has not been dealt with appropriately or does not warrant rejection (and can provide sound justification) then they can appeal the decision. This can be addressed to the Managing Editor (</w:t>
      </w:r>
      <w:hyperlink r:id="rId12" w:history="1">
        <w:r w:rsidRPr="00E41A7B">
          <w:rPr>
            <w:rStyle w:val="Hyperlink"/>
            <w:rFonts w:ascii="Times New Roman" w:hAnsi="Times New Roman"/>
            <w:szCs w:val="24"/>
          </w:rPr>
          <w:t>nuytsia@dbca.wa.gov.au</w:t>
        </w:r>
      </w:hyperlink>
      <w:r w:rsidRPr="00E41A7B">
        <w:rPr>
          <w:rFonts w:ascii="Times New Roman" w:hAnsi="Times New Roman"/>
          <w:szCs w:val="24"/>
        </w:rPr>
        <w:t xml:space="preserve">). </w:t>
      </w:r>
    </w:p>
    <w:p w14:paraId="4A814B78" w14:textId="77777777" w:rsidR="004F673D" w:rsidRPr="00E41A7B" w:rsidRDefault="004F673D" w:rsidP="004F673D">
      <w:pPr>
        <w:spacing w:after="240"/>
        <w:rPr>
          <w:rFonts w:ascii="Times New Roman" w:hAnsi="Times New Roman"/>
          <w:b/>
          <w:bCs/>
          <w:szCs w:val="24"/>
        </w:rPr>
      </w:pPr>
      <w:r w:rsidRPr="00E41A7B">
        <w:rPr>
          <w:rFonts w:ascii="Times New Roman" w:hAnsi="Times New Roman"/>
          <w:b/>
          <w:bCs/>
          <w:szCs w:val="24"/>
        </w:rPr>
        <w:t>Further information</w:t>
      </w:r>
    </w:p>
    <w:p w14:paraId="5D391DCC" w14:textId="77777777" w:rsidR="004F673D" w:rsidRPr="00E41A7B" w:rsidRDefault="004F673D" w:rsidP="004F673D">
      <w:pPr>
        <w:spacing w:after="240"/>
        <w:rPr>
          <w:rFonts w:ascii="Times New Roman" w:hAnsi="Times New Roman"/>
          <w:szCs w:val="24"/>
        </w:rPr>
      </w:pPr>
      <w:r w:rsidRPr="00E41A7B">
        <w:rPr>
          <w:rFonts w:ascii="Times New Roman" w:hAnsi="Times New Roman"/>
          <w:szCs w:val="24"/>
        </w:rPr>
        <w:t xml:space="preserve">For a more in-depth discussion on Ethical Authorship see: K.A. Shepherd (2022). </w:t>
      </w:r>
      <w:r w:rsidRPr="00E41A7B">
        <w:rPr>
          <w:rFonts w:ascii="Times New Roman" w:hAnsi="Times New Roman"/>
          <w:i/>
          <w:iCs/>
          <w:szCs w:val="24"/>
        </w:rPr>
        <w:t xml:space="preserve">Australasian Systematic Botany Society Newsletter </w:t>
      </w:r>
      <w:r w:rsidRPr="00E41A7B">
        <w:rPr>
          <w:rFonts w:ascii="Times New Roman" w:hAnsi="Times New Roman"/>
          <w:szCs w:val="24"/>
        </w:rPr>
        <w:t>191: 25–29 https://asbs.org.au/wp-content/uploads/2023/08/22-jun-191.pdf</w:t>
      </w:r>
    </w:p>
    <w:p w14:paraId="733907D4" w14:textId="77777777" w:rsidR="004F673D" w:rsidRPr="00E41A7B" w:rsidRDefault="004F673D" w:rsidP="004F673D">
      <w:pPr>
        <w:rPr>
          <w:rFonts w:ascii="Times New Roman" w:hAnsi="Times New Roman"/>
          <w:b/>
          <w:bCs/>
          <w:szCs w:val="24"/>
        </w:rPr>
      </w:pPr>
      <w:r w:rsidRPr="00E41A7B">
        <w:rPr>
          <w:rFonts w:ascii="Times New Roman" w:hAnsi="Times New Roman"/>
          <w:b/>
          <w:bCs/>
          <w:szCs w:val="24"/>
        </w:rPr>
        <w:t>References</w:t>
      </w:r>
    </w:p>
    <w:p w14:paraId="2543E348" w14:textId="77777777" w:rsidR="00441216" w:rsidRPr="00E41A7B" w:rsidRDefault="00441216" w:rsidP="004F673D">
      <w:pPr>
        <w:rPr>
          <w:rFonts w:ascii="Times New Roman" w:hAnsi="Times New Roman"/>
          <w:b/>
          <w:bCs/>
          <w:szCs w:val="24"/>
        </w:rPr>
      </w:pPr>
    </w:p>
    <w:p w14:paraId="6DEE3F5B" w14:textId="77777777" w:rsidR="004F673D" w:rsidRPr="00E41A7B" w:rsidRDefault="004F673D" w:rsidP="004F673D">
      <w:pPr>
        <w:rPr>
          <w:rFonts w:ascii="Times New Roman" w:hAnsi="Times New Roman"/>
          <w:szCs w:val="24"/>
        </w:rPr>
      </w:pPr>
      <w:r w:rsidRPr="00E41A7B">
        <w:rPr>
          <w:rFonts w:ascii="Times New Roman" w:hAnsi="Times New Roman"/>
          <w:szCs w:val="24"/>
          <w:vertAlign w:val="superscript"/>
        </w:rPr>
        <w:t>1</w:t>
      </w:r>
      <w:r w:rsidRPr="00E41A7B">
        <w:rPr>
          <w:rFonts w:ascii="Times New Roman" w:hAnsi="Times New Roman"/>
          <w:szCs w:val="24"/>
        </w:rPr>
        <w:t xml:space="preserve">National Health and Medical Research Council (2018). Australian Code for Responsible Conduct of Research. </w:t>
      </w:r>
      <w:hyperlink r:id="rId13" w:history="1">
        <w:r w:rsidRPr="00E41A7B">
          <w:rPr>
            <w:rStyle w:val="Hyperlink"/>
            <w:rFonts w:ascii="Times New Roman" w:hAnsi="Times New Roman"/>
            <w:szCs w:val="24"/>
          </w:rPr>
          <w:t>https://www.nhmrc.gov.au/sites/default/files/documents/attachments/grant%20documents/The-australian-code-for-the-responsible-conduct-of-research-2018.pdf</w:t>
        </w:r>
      </w:hyperlink>
    </w:p>
    <w:p w14:paraId="68018343" w14:textId="77777777" w:rsidR="004F673D" w:rsidRPr="00E41A7B" w:rsidRDefault="004F673D" w:rsidP="004F673D">
      <w:pPr>
        <w:rPr>
          <w:rFonts w:ascii="Times New Roman" w:hAnsi="Times New Roman"/>
          <w:szCs w:val="24"/>
        </w:rPr>
      </w:pPr>
      <w:r w:rsidRPr="00E41A7B">
        <w:rPr>
          <w:rFonts w:ascii="Times New Roman" w:hAnsi="Times New Roman"/>
          <w:szCs w:val="24"/>
          <w:vertAlign w:val="superscript"/>
        </w:rPr>
        <w:t>2</w:t>
      </w:r>
      <w:r w:rsidRPr="00E41A7B">
        <w:rPr>
          <w:rFonts w:ascii="Times New Roman" w:hAnsi="Times New Roman"/>
          <w:szCs w:val="24"/>
        </w:rPr>
        <w:t xml:space="preserve">International Committee of Medical Journal Editors (2019). Recommendations for the Conduct, Reporting, Editing, and Publication of Scholarly Work in Medical Journals. </w:t>
      </w:r>
      <w:hyperlink r:id="rId14" w:history="1">
        <w:r w:rsidRPr="00E41A7B">
          <w:rPr>
            <w:rStyle w:val="Hyperlink"/>
            <w:rFonts w:ascii="Times New Roman" w:hAnsi="Times New Roman"/>
            <w:szCs w:val="24"/>
          </w:rPr>
          <w:t>http://www.icmje.org/icmje-recommendations.pdf</w:t>
        </w:r>
      </w:hyperlink>
    </w:p>
    <w:p w14:paraId="1D158F43" w14:textId="77777777" w:rsidR="004F673D" w:rsidRPr="00E41A7B" w:rsidRDefault="004F673D" w:rsidP="004F673D">
      <w:pPr>
        <w:rPr>
          <w:rFonts w:ascii="Times New Roman" w:hAnsi="Times New Roman"/>
          <w:szCs w:val="24"/>
        </w:rPr>
      </w:pPr>
      <w:r w:rsidRPr="00E41A7B">
        <w:rPr>
          <w:rFonts w:ascii="Times New Roman" w:hAnsi="Times New Roman"/>
          <w:szCs w:val="24"/>
          <w:vertAlign w:val="superscript"/>
        </w:rPr>
        <w:t>3</w:t>
      </w:r>
      <w:r w:rsidRPr="00E41A7B">
        <w:rPr>
          <w:rFonts w:ascii="Times New Roman" w:hAnsi="Times New Roman"/>
          <w:szCs w:val="24"/>
        </w:rPr>
        <w:t xml:space="preserve">Elsevier Author statement. </w:t>
      </w:r>
      <w:hyperlink r:id="rId15" w:history="1">
        <w:r w:rsidRPr="00E41A7B">
          <w:rPr>
            <w:rStyle w:val="Hyperlink"/>
            <w:rFonts w:ascii="Times New Roman" w:hAnsi="Times New Roman"/>
            <w:szCs w:val="24"/>
          </w:rPr>
          <w:t>https://www.elsevier.com/en-au/researcher/author/policies-and-guidelines/credit-author-statement</w:t>
        </w:r>
      </w:hyperlink>
      <w:r w:rsidRPr="00E41A7B">
        <w:rPr>
          <w:rFonts w:ascii="Times New Roman" w:hAnsi="Times New Roman"/>
          <w:szCs w:val="24"/>
        </w:rPr>
        <w:t xml:space="preserve"> </w:t>
      </w:r>
    </w:p>
    <w:p w14:paraId="5F25C2B9" w14:textId="77777777" w:rsidR="004F673D" w:rsidRPr="00E41A7B" w:rsidRDefault="004F673D" w:rsidP="004F673D">
      <w:pPr>
        <w:rPr>
          <w:rFonts w:ascii="Times New Roman" w:hAnsi="Times New Roman"/>
          <w:szCs w:val="24"/>
        </w:rPr>
      </w:pPr>
      <w:r w:rsidRPr="00E41A7B">
        <w:rPr>
          <w:rFonts w:ascii="Times New Roman" w:hAnsi="Times New Roman"/>
          <w:szCs w:val="24"/>
          <w:vertAlign w:val="superscript"/>
        </w:rPr>
        <w:t>4</w:t>
      </w:r>
      <w:r w:rsidRPr="00E41A7B">
        <w:rPr>
          <w:rFonts w:ascii="Times New Roman" w:hAnsi="Times New Roman"/>
          <w:szCs w:val="24"/>
        </w:rPr>
        <w:t xml:space="preserve">Open Researcher and Contributor ID. </w:t>
      </w:r>
      <w:hyperlink r:id="rId16" w:history="1">
        <w:r w:rsidRPr="00E41A7B">
          <w:rPr>
            <w:rStyle w:val="Hyperlink"/>
            <w:rFonts w:ascii="Times New Roman" w:hAnsi="Times New Roman"/>
            <w:szCs w:val="24"/>
          </w:rPr>
          <w:t>https://info.orcid.org/what-is-orcid/</w:t>
        </w:r>
      </w:hyperlink>
      <w:r w:rsidRPr="00E41A7B">
        <w:rPr>
          <w:rFonts w:ascii="Times New Roman" w:hAnsi="Times New Roman"/>
          <w:szCs w:val="24"/>
        </w:rPr>
        <w:t xml:space="preserve"> </w:t>
      </w:r>
    </w:p>
    <w:p w14:paraId="46AC14B0" w14:textId="3904710F" w:rsidR="004F673D" w:rsidRPr="00E41A7B" w:rsidRDefault="004F673D" w:rsidP="004F673D">
      <w:pPr>
        <w:rPr>
          <w:rFonts w:ascii="Times New Roman" w:hAnsi="Times New Roman"/>
          <w:color w:val="202020"/>
          <w:szCs w:val="24"/>
          <w:lang w:eastAsia="en-AU"/>
        </w:rPr>
      </w:pPr>
      <w:r w:rsidRPr="00E41A7B">
        <w:rPr>
          <w:rFonts w:ascii="Times New Roman" w:hAnsi="Times New Roman"/>
          <w:szCs w:val="24"/>
          <w:vertAlign w:val="superscript"/>
        </w:rPr>
        <w:t>5</w:t>
      </w:r>
      <w:r w:rsidRPr="00E41A7B">
        <w:rPr>
          <w:rFonts w:ascii="Times New Roman" w:hAnsi="Times New Roman"/>
          <w:color w:val="202020"/>
          <w:szCs w:val="24"/>
          <w:lang w:eastAsia="en-AU"/>
        </w:rPr>
        <w:t xml:space="preserve">https://www.dcceew.gov.au/science-research/australias-biological-resources/nagoya-protocol-convention-biological </w:t>
      </w:r>
    </w:p>
    <w:p w14:paraId="52A289D7" w14:textId="77777777" w:rsidR="004F673D" w:rsidRPr="00E41A7B" w:rsidRDefault="004F673D" w:rsidP="004F673D">
      <w:pPr>
        <w:rPr>
          <w:rFonts w:ascii="Times New Roman" w:hAnsi="Times New Roman"/>
          <w:szCs w:val="24"/>
        </w:rPr>
      </w:pPr>
    </w:p>
    <w:p w14:paraId="408ED825" w14:textId="77777777" w:rsidR="004F673D" w:rsidRPr="00E41A7B" w:rsidRDefault="004F673D" w:rsidP="004F673D">
      <w:pPr>
        <w:rPr>
          <w:rFonts w:ascii="Times New Roman" w:hAnsi="Times New Roman"/>
          <w:szCs w:val="24"/>
        </w:rPr>
      </w:pPr>
    </w:p>
    <w:p w14:paraId="4306D184" w14:textId="77777777" w:rsidR="004F673D" w:rsidRPr="00E41A7B" w:rsidRDefault="004F673D" w:rsidP="004F673D">
      <w:pPr>
        <w:jc w:val="right"/>
        <w:rPr>
          <w:rFonts w:ascii="Times New Roman" w:eastAsia="Calibri" w:hAnsi="Times New Roman"/>
          <w:noProof/>
          <w:szCs w:val="24"/>
          <w:lang w:val="en-GB" w:eastAsia="en-AU"/>
        </w:rPr>
      </w:pPr>
      <w:r w:rsidRPr="00E41A7B">
        <w:rPr>
          <w:rFonts w:ascii="Times New Roman" w:eastAsia="Calibri" w:hAnsi="Times New Roman"/>
          <w:b/>
          <w:bCs/>
          <w:noProof/>
          <w:szCs w:val="24"/>
          <w:lang w:eastAsia="en-AU"/>
        </w:rPr>
        <w:t>Dr Kelly A. Shepherd</w:t>
      </w:r>
    </w:p>
    <w:p w14:paraId="77A09921" w14:textId="77777777" w:rsidR="004F673D" w:rsidRPr="00E41A7B" w:rsidRDefault="004F673D" w:rsidP="004F673D">
      <w:pPr>
        <w:jc w:val="right"/>
        <w:rPr>
          <w:rFonts w:ascii="Times New Roman" w:eastAsia="Calibri" w:hAnsi="Times New Roman"/>
          <w:noProof/>
          <w:szCs w:val="24"/>
          <w:lang w:val="en-GB" w:eastAsia="en-AU"/>
        </w:rPr>
      </w:pPr>
      <w:r w:rsidRPr="00E41A7B">
        <w:rPr>
          <w:rFonts w:ascii="Times New Roman" w:eastAsia="Calibri" w:hAnsi="Times New Roman"/>
          <w:noProof/>
          <w:szCs w:val="24"/>
          <w:lang w:eastAsia="en-AU"/>
        </w:rPr>
        <w:t xml:space="preserve">Managing Editor for </w:t>
      </w:r>
      <w:r w:rsidRPr="00E41A7B">
        <w:rPr>
          <w:rFonts w:ascii="Times New Roman" w:eastAsia="Calibri" w:hAnsi="Times New Roman"/>
          <w:i/>
          <w:iCs/>
          <w:noProof/>
          <w:szCs w:val="24"/>
          <w:lang w:eastAsia="en-AU"/>
        </w:rPr>
        <w:t>Nuytsia</w:t>
      </w:r>
    </w:p>
    <w:sectPr w:rsidR="004F673D" w:rsidRPr="00E41A7B" w:rsidSect="00375626">
      <w:headerReference w:type="default" r:id="rId17"/>
      <w:footerReference w:type="default" r:id="rId18"/>
      <w:headerReference w:type="first" r:id="rId19"/>
      <w:type w:val="continuous"/>
      <w:pgSz w:w="11880" w:h="16819" w:code="9"/>
      <w:pgMar w:top="1440" w:right="1440" w:bottom="87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7FF1" w14:textId="77777777" w:rsidR="00375626" w:rsidRDefault="00375626">
      <w:r>
        <w:separator/>
      </w:r>
    </w:p>
  </w:endnote>
  <w:endnote w:type="continuationSeparator" w:id="0">
    <w:p w14:paraId="3235C6BA" w14:textId="77777777" w:rsidR="00375626" w:rsidRDefault="0037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E34A" w14:textId="01985E16" w:rsidR="000E3376" w:rsidRPr="000E46C0" w:rsidRDefault="002E36DB" w:rsidP="000E46C0">
    <w:pPr>
      <w:pStyle w:val="Footer"/>
      <w:spacing w:before="240"/>
      <w:rPr>
        <w:rFonts w:asciiTheme="minorHAnsi" w:hAnsiTheme="minorHAnsi" w:cstheme="minorHAnsi"/>
        <w:sz w:val="20"/>
        <w:szCs w:val="16"/>
      </w:rPr>
    </w:pPr>
    <w:r w:rsidRPr="000E46C0">
      <w:rPr>
        <w:rFonts w:asciiTheme="minorHAnsi" w:hAnsiTheme="minorHAnsi" w:cstheme="minorHAnsi"/>
        <w:sz w:val="20"/>
        <w:szCs w:val="16"/>
        <w:lang w:val="en-AU"/>
      </w:rPr>
      <w:t>U</w:t>
    </w:r>
    <w:r w:rsidR="000E3376" w:rsidRPr="000E46C0">
      <w:rPr>
        <w:rFonts w:asciiTheme="minorHAnsi" w:hAnsiTheme="minorHAnsi" w:cstheme="minorHAnsi"/>
        <w:sz w:val="20"/>
        <w:szCs w:val="16"/>
        <w:lang w:val="en-AU"/>
      </w:rPr>
      <w:t xml:space="preserve">pdated </w:t>
    </w:r>
    <w:r w:rsidR="00E02136" w:rsidRPr="000E46C0">
      <w:rPr>
        <w:rFonts w:asciiTheme="minorHAnsi" w:hAnsiTheme="minorHAnsi" w:cstheme="minorHAnsi"/>
        <w:sz w:val="20"/>
        <w:szCs w:val="16"/>
        <w:lang w:val="en-AU"/>
      </w:rPr>
      <w:t>13 March</w:t>
    </w:r>
    <w:r w:rsidRPr="000E46C0">
      <w:rPr>
        <w:rFonts w:asciiTheme="minorHAnsi" w:hAnsiTheme="minorHAnsi" w:cstheme="minorHAnsi"/>
        <w:sz w:val="20"/>
        <w:szCs w:val="16"/>
        <w:lang w:val="en-AU"/>
      </w:rPr>
      <w:t xml:space="preserve"> 2024</w:t>
    </w:r>
    <w:r w:rsidR="000E3376" w:rsidRPr="000E46C0">
      <w:rPr>
        <w:rFonts w:asciiTheme="minorHAnsi" w:hAnsiTheme="minorHAnsi" w:cstheme="minorHAnsi"/>
        <w:sz w:val="20"/>
        <w:szCs w:val="16"/>
        <w:lang w:val="en-AU"/>
      </w:rPr>
      <w:tab/>
    </w:r>
    <w:sdt>
      <w:sdtPr>
        <w:rPr>
          <w:rFonts w:asciiTheme="minorHAnsi" w:hAnsiTheme="minorHAnsi" w:cstheme="minorHAnsi"/>
        </w:rPr>
        <w:id w:val="-1105273077"/>
        <w:docPartObj>
          <w:docPartGallery w:val="Page Numbers (Bottom of Page)"/>
          <w:docPartUnique/>
        </w:docPartObj>
      </w:sdtPr>
      <w:sdtEndPr>
        <w:rPr>
          <w:noProof/>
          <w:sz w:val="20"/>
          <w:szCs w:val="16"/>
        </w:rPr>
      </w:sdtEndPr>
      <w:sdtContent>
        <w:r w:rsidR="000E46C0">
          <w:rPr>
            <w:rFonts w:asciiTheme="minorHAnsi" w:hAnsiTheme="minorHAnsi" w:cstheme="minorHAnsi"/>
          </w:rPr>
          <w:tab/>
        </w:r>
        <w:r w:rsidR="000E3376" w:rsidRPr="000E46C0">
          <w:rPr>
            <w:rFonts w:asciiTheme="minorHAnsi" w:hAnsiTheme="minorHAnsi" w:cstheme="minorHAnsi"/>
            <w:sz w:val="20"/>
            <w:szCs w:val="16"/>
          </w:rPr>
          <w:fldChar w:fldCharType="begin"/>
        </w:r>
        <w:r w:rsidR="000E3376" w:rsidRPr="000E46C0">
          <w:rPr>
            <w:rFonts w:asciiTheme="minorHAnsi" w:hAnsiTheme="minorHAnsi" w:cstheme="minorHAnsi"/>
            <w:sz w:val="20"/>
            <w:szCs w:val="16"/>
          </w:rPr>
          <w:instrText xml:space="preserve"> PAGE   \* MERGEFORMAT </w:instrText>
        </w:r>
        <w:r w:rsidR="000E3376" w:rsidRPr="000E46C0">
          <w:rPr>
            <w:rFonts w:asciiTheme="minorHAnsi" w:hAnsiTheme="minorHAnsi" w:cstheme="minorHAnsi"/>
            <w:sz w:val="20"/>
            <w:szCs w:val="16"/>
          </w:rPr>
          <w:fldChar w:fldCharType="separate"/>
        </w:r>
        <w:r w:rsidR="000E3376" w:rsidRPr="000E46C0">
          <w:rPr>
            <w:rFonts w:asciiTheme="minorHAnsi" w:hAnsiTheme="minorHAnsi" w:cstheme="minorHAnsi"/>
            <w:noProof/>
            <w:sz w:val="20"/>
            <w:szCs w:val="16"/>
          </w:rPr>
          <w:t>2</w:t>
        </w:r>
        <w:r w:rsidR="000E3376" w:rsidRPr="000E46C0">
          <w:rPr>
            <w:rFonts w:asciiTheme="minorHAnsi" w:hAnsiTheme="minorHAnsi" w:cstheme="minorHAnsi"/>
            <w:noProof/>
            <w:sz w:val="20"/>
            <w:szCs w:val="16"/>
          </w:rPr>
          <w:fldChar w:fldCharType="end"/>
        </w:r>
      </w:sdtContent>
    </w:sdt>
  </w:p>
  <w:p w14:paraId="56E4A9BB" w14:textId="753A7CC7" w:rsidR="00F00E82" w:rsidRPr="000E46C0" w:rsidRDefault="00F00E82" w:rsidP="00F00E82">
    <w:pPr>
      <w:pStyle w:val="Footer"/>
      <w:rPr>
        <w:rFonts w:asciiTheme="minorHAnsi" w:hAnsiTheme="minorHAnsi" w:cstheme="minorHAnsi"/>
        <w:sz w:val="20"/>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D9FF" w14:textId="77777777" w:rsidR="00375626" w:rsidRDefault="00375626">
      <w:r>
        <w:separator/>
      </w:r>
    </w:p>
  </w:footnote>
  <w:footnote w:type="continuationSeparator" w:id="0">
    <w:p w14:paraId="35A6799B" w14:textId="77777777" w:rsidR="00375626" w:rsidRDefault="0037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DC0" w14:textId="029503D4" w:rsidR="00C65FBE" w:rsidRDefault="00C65FBE" w:rsidP="00961A42">
    <w:pPr>
      <w:pStyle w:val="Header"/>
      <w:tabs>
        <w:tab w:val="clear" w:pos="4320"/>
        <w:tab w:val="clear" w:pos="8640"/>
        <w:tab w:val="right" w:pos="8789"/>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F9B8" w14:textId="233A7928" w:rsidR="008D63AE" w:rsidRPr="003C4221" w:rsidRDefault="0009147C" w:rsidP="00090665">
    <w:pPr>
      <w:pStyle w:val="Header"/>
      <w:tabs>
        <w:tab w:val="clear" w:pos="4320"/>
        <w:tab w:val="clear" w:pos="8640"/>
        <w:tab w:val="right" w:pos="8789"/>
      </w:tabs>
      <w:spacing w:after="240"/>
      <w:rPr>
        <w:rFonts w:ascii="Arial" w:hAnsi="Arial"/>
        <w:b/>
        <w:sz w:val="22"/>
      </w:rPr>
    </w:pPr>
    <w:r>
      <w:rPr>
        <w:rFonts w:ascii="Times New Roman" w:hAnsi="Times New Roman"/>
        <w:b/>
        <w:bCs/>
        <w:noProof/>
        <w:sz w:val="22"/>
        <w:szCs w:val="22"/>
      </w:rPr>
      <w:drawing>
        <wp:anchor distT="0" distB="0" distL="114300" distR="114300" simplePos="0" relativeHeight="251658240" behindDoc="0" locked="0" layoutInCell="1" allowOverlap="1" wp14:anchorId="5560819D" wp14:editId="74893E2A">
          <wp:simplePos x="0" y="0"/>
          <wp:positionH relativeFrom="column">
            <wp:posOffset>-552450</wp:posOffset>
          </wp:positionH>
          <wp:positionV relativeFrom="paragraph">
            <wp:posOffset>-104775</wp:posOffset>
          </wp:positionV>
          <wp:extent cx="828675" cy="808245"/>
          <wp:effectExtent l="0" t="0" r="0" b="0"/>
          <wp:wrapSquare wrapText="bothSides"/>
          <wp:docPr id="3" name="Picture 3" descr="A tree with yellow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yellow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675" cy="808245"/>
                  </a:xfrm>
                  <a:prstGeom prst="rect">
                    <a:avLst/>
                  </a:prstGeom>
                </pic:spPr>
              </pic:pic>
            </a:graphicData>
          </a:graphic>
        </wp:anchor>
      </w:drawing>
    </w:r>
    <w:r w:rsidR="00090665" w:rsidRPr="00183D71">
      <w:rPr>
        <w:rFonts w:ascii="Times New Roman" w:hAnsi="Times New Roman"/>
        <w:bCs/>
        <w:sz w:val="72"/>
        <w:szCs w:val="72"/>
      </w:rPr>
      <w:t>Nuytsia</w:t>
    </w:r>
    <w:r w:rsidR="00090665">
      <w:rPr>
        <w:rFonts w:ascii="Times New Roman" w:hAnsi="Times New Roman"/>
        <w:bCs/>
        <w:sz w:val="72"/>
        <w:szCs w:val="72"/>
      </w:rPr>
      <w:t xml:space="preserve"> </w:t>
    </w:r>
    <w:r w:rsidR="00090665">
      <w:rPr>
        <w:rFonts w:ascii="Times New Roman" w:hAnsi="Times New Roman"/>
        <w:bCs/>
        <w:sz w:val="72"/>
        <w:szCs w:val="72"/>
      </w:rPr>
      <w:br/>
    </w:r>
    <w:r w:rsidR="00090665">
      <w:rPr>
        <w:rFonts w:ascii="Times New Roman" w:hAnsi="Times New Roman"/>
        <w:bCs/>
        <w:sz w:val="22"/>
        <w:szCs w:val="22"/>
      </w:rPr>
      <w:t>The journal of the Western Australian Herbarium</w:t>
    </w:r>
    <w:r w:rsidR="008D63AE">
      <w:rPr>
        <w:rFonts w:ascii="Arial" w:hAnsi="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DE2"/>
    <w:multiLevelType w:val="hybridMultilevel"/>
    <w:tmpl w:val="47BC5AF6"/>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353960"/>
    <w:multiLevelType w:val="hybridMultilevel"/>
    <w:tmpl w:val="BA889CB4"/>
    <w:lvl w:ilvl="0" w:tplc="70420BD8">
      <w:start w:val="1"/>
      <w:numFmt w:val="bullet"/>
      <w:lvlText w:val=""/>
      <w:lvlJc w:val="left"/>
      <w:pPr>
        <w:tabs>
          <w:tab w:val="num" w:pos="720"/>
        </w:tabs>
        <w:ind w:left="720" w:hanging="360"/>
      </w:pPr>
      <w:rPr>
        <w:rFonts w:ascii="Wingdings" w:hAnsi="Wingdings" w:hint="default"/>
      </w:rPr>
    </w:lvl>
    <w:lvl w:ilvl="1" w:tplc="A27E5954" w:tentative="1">
      <w:start w:val="1"/>
      <w:numFmt w:val="bullet"/>
      <w:lvlText w:val="o"/>
      <w:lvlJc w:val="left"/>
      <w:pPr>
        <w:tabs>
          <w:tab w:val="num" w:pos="1440"/>
        </w:tabs>
        <w:ind w:left="1440" w:hanging="360"/>
      </w:pPr>
      <w:rPr>
        <w:rFonts w:ascii="Courier New" w:hAnsi="Courier New" w:hint="default"/>
      </w:rPr>
    </w:lvl>
    <w:lvl w:ilvl="2" w:tplc="5BE269F2" w:tentative="1">
      <w:start w:val="1"/>
      <w:numFmt w:val="bullet"/>
      <w:lvlText w:val=""/>
      <w:lvlJc w:val="left"/>
      <w:pPr>
        <w:tabs>
          <w:tab w:val="num" w:pos="2160"/>
        </w:tabs>
        <w:ind w:left="2160" w:hanging="360"/>
      </w:pPr>
      <w:rPr>
        <w:rFonts w:ascii="Wingdings" w:hAnsi="Wingdings" w:hint="default"/>
      </w:rPr>
    </w:lvl>
    <w:lvl w:ilvl="3" w:tplc="BF7EC72C" w:tentative="1">
      <w:start w:val="1"/>
      <w:numFmt w:val="bullet"/>
      <w:lvlText w:val=""/>
      <w:lvlJc w:val="left"/>
      <w:pPr>
        <w:tabs>
          <w:tab w:val="num" w:pos="2880"/>
        </w:tabs>
        <w:ind w:left="2880" w:hanging="360"/>
      </w:pPr>
      <w:rPr>
        <w:rFonts w:ascii="Symbol" w:hAnsi="Symbol" w:hint="default"/>
      </w:rPr>
    </w:lvl>
    <w:lvl w:ilvl="4" w:tplc="90AEC782" w:tentative="1">
      <w:start w:val="1"/>
      <w:numFmt w:val="bullet"/>
      <w:lvlText w:val="o"/>
      <w:lvlJc w:val="left"/>
      <w:pPr>
        <w:tabs>
          <w:tab w:val="num" w:pos="3600"/>
        </w:tabs>
        <w:ind w:left="3600" w:hanging="360"/>
      </w:pPr>
      <w:rPr>
        <w:rFonts w:ascii="Courier New" w:hAnsi="Courier New" w:hint="default"/>
      </w:rPr>
    </w:lvl>
    <w:lvl w:ilvl="5" w:tplc="68AC06F8" w:tentative="1">
      <w:start w:val="1"/>
      <w:numFmt w:val="bullet"/>
      <w:lvlText w:val=""/>
      <w:lvlJc w:val="left"/>
      <w:pPr>
        <w:tabs>
          <w:tab w:val="num" w:pos="4320"/>
        </w:tabs>
        <w:ind w:left="4320" w:hanging="360"/>
      </w:pPr>
      <w:rPr>
        <w:rFonts w:ascii="Wingdings" w:hAnsi="Wingdings" w:hint="default"/>
      </w:rPr>
    </w:lvl>
    <w:lvl w:ilvl="6" w:tplc="990CD7A0" w:tentative="1">
      <w:start w:val="1"/>
      <w:numFmt w:val="bullet"/>
      <w:lvlText w:val=""/>
      <w:lvlJc w:val="left"/>
      <w:pPr>
        <w:tabs>
          <w:tab w:val="num" w:pos="5040"/>
        </w:tabs>
        <w:ind w:left="5040" w:hanging="360"/>
      </w:pPr>
      <w:rPr>
        <w:rFonts w:ascii="Symbol" w:hAnsi="Symbol" w:hint="default"/>
      </w:rPr>
    </w:lvl>
    <w:lvl w:ilvl="7" w:tplc="C8CCCB62" w:tentative="1">
      <w:start w:val="1"/>
      <w:numFmt w:val="bullet"/>
      <w:lvlText w:val="o"/>
      <w:lvlJc w:val="left"/>
      <w:pPr>
        <w:tabs>
          <w:tab w:val="num" w:pos="5760"/>
        </w:tabs>
        <w:ind w:left="5760" w:hanging="360"/>
      </w:pPr>
      <w:rPr>
        <w:rFonts w:ascii="Courier New" w:hAnsi="Courier New" w:hint="default"/>
      </w:rPr>
    </w:lvl>
    <w:lvl w:ilvl="8" w:tplc="05BA12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085F"/>
    <w:multiLevelType w:val="hybridMultilevel"/>
    <w:tmpl w:val="B75E2048"/>
    <w:lvl w:ilvl="0" w:tplc="6C740A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A3E08"/>
    <w:multiLevelType w:val="hybridMultilevel"/>
    <w:tmpl w:val="FE92D3D4"/>
    <w:lvl w:ilvl="0" w:tplc="6C740A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3055F"/>
    <w:multiLevelType w:val="hybridMultilevel"/>
    <w:tmpl w:val="78664ADC"/>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E084D28"/>
    <w:multiLevelType w:val="multilevel"/>
    <w:tmpl w:val="DE2AB238"/>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heme="minorHAnsi"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9417D"/>
    <w:multiLevelType w:val="hybridMultilevel"/>
    <w:tmpl w:val="54B28612"/>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4CA745B"/>
    <w:multiLevelType w:val="hybridMultilevel"/>
    <w:tmpl w:val="0E843EB4"/>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46E91856"/>
    <w:multiLevelType w:val="hybridMultilevel"/>
    <w:tmpl w:val="ACD03A40"/>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56571745"/>
    <w:multiLevelType w:val="multilevel"/>
    <w:tmpl w:val="04FC9684"/>
    <w:lvl w:ilvl="0">
      <w:start w:val="1"/>
      <w:numFmt w:val="decimal"/>
      <w:lvlText w:val="%1."/>
      <w:lvlJc w:val="left"/>
      <w:pPr>
        <w:tabs>
          <w:tab w:val="num" w:pos="720"/>
        </w:tabs>
        <w:ind w:left="720" w:hanging="360"/>
      </w:pPr>
      <w:rPr>
        <w:rFonts w:ascii="Arial" w:eastAsia="Times New Roman" w:hAnsi="Arial" w:cs="Arial"/>
        <w:sz w:val="20"/>
      </w:rPr>
    </w:lvl>
    <w:lvl w:ilvl="1">
      <w:numFmt w:val="bullet"/>
      <w:lvlText w:val="•"/>
      <w:lvlJc w:val="left"/>
      <w:pPr>
        <w:ind w:left="1440" w:hanging="360"/>
      </w:pPr>
      <w:rPr>
        <w:rFonts w:ascii="Arial" w:eastAsiaTheme="minorHAnsi"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D6801"/>
    <w:multiLevelType w:val="hybridMultilevel"/>
    <w:tmpl w:val="5EE29A2E"/>
    <w:lvl w:ilvl="0" w:tplc="6C740A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2DDD"/>
    <w:multiLevelType w:val="hybridMultilevel"/>
    <w:tmpl w:val="6840E456"/>
    <w:lvl w:ilvl="0" w:tplc="6C740A0E">
      <w:start w:val="1"/>
      <w:numFmt w:val="bullet"/>
      <w:lvlText w:val="□"/>
      <w:lvlJc w:val="left"/>
      <w:pPr>
        <w:ind w:left="2205" w:hanging="360"/>
      </w:pPr>
      <w:rPr>
        <w:rFonts w:ascii="Courier New" w:hAnsi="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64DF07C7"/>
    <w:multiLevelType w:val="hybridMultilevel"/>
    <w:tmpl w:val="102A7462"/>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9401B1E"/>
    <w:multiLevelType w:val="hybridMultilevel"/>
    <w:tmpl w:val="24B8EFBE"/>
    <w:lvl w:ilvl="0" w:tplc="08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6A0D4EFF"/>
    <w:multiLevelType w:val="hybridMultilevel"/>
    <w:tmpl w:val="B26C845C"/>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A964059"/>
    <w:multiLevelType w:val="hybridMultilevel"/>
    <w:tmpl w:val="BCD820F6"/>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756735B4"/>
    <w:multiLevelType w:val="hybridMultilevel"/>
    <w:tmpl w:val="D5607276"/>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75EE0656"/>
    <w:multiLevelType w:val="hybridMultilevel"/>
    <w:tmpl w:val="741A88E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76D04840"/>
    <w:multiLevelType w:val="multilevel"/>
    <w:tmpl w:val="D5607276"/>
    <w:lvl w:ilvl="0">
      <w:start w:val="1"/>
      <w:numFmt w:val="bullet"/>
      <w:lvlText w:val="□"/>
      <w:lvlJc w:val="left"/>
      <w:pPr>
        <w:ind w:left="157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78BB63D0"/>
    <w:multiLevelType w:val="hybridMultilevel"/>
    <w:tmpl w:val="BA889CB4"/>
    <w:lvl w:ilvl="0" w:tplc="FD507B70">
      <w:start w:val="1"/>
      <w:numFmt w:val="bullet"/>
      <w:lvlText w:val="o"/>
      <w:lvlJc w:val="left"/>
      <w:pPr>
        <w:tabs>
          <w:tab w:val="num" w:pos="720"/>
        </w:tabs>
        <w:ind w:left="720" w:hanging="360"/>
      </w:pPr>
      <w:rPr>
        <w:rFonts w:ascii="Courier New" w:hAnsi="Courier New" w:hint="default"/>
      </w:rPr>
    </w:lvl>
    <w:lvl w:ilvl="1" w:tplc="D73E11F4" w:tentative="1">
      <w:start w:val="1"/>
      <w:numFmt w:val="bullet"/>
      <w:lvlText w:val="o"/>
      <w:lvlJc w:val="left"/>
      <w:pPr>
        <w:tabs>
          <w:tab w:val="num" w:pos="1440"/>
        </w:tabs>
        <w:ind w:left="1440" w:hanging="360"/>
      </w:pPr>
      <w:rPr>
        <w:rFonts w:ascii="Courier New" w:hAnsi="Courier New" w:hint="default"/>
      </w:rPr>
    </w:lvl>
    <w:lvl w:ilvl="2" w:tplc="0C48704E" w:tentative="1">
      <w:start w:val="1"/>
      <w:numFmt w:val="bullet"/>
      <w:lvlText w:val=""/>
      <w:lvlJc w:val="left"/>
      <w:pPr>
        <w:tabs>
          <w:tab w:val="num" w:pos="2160"/>
        </w:tabs>
        <w:ind w:left="2160" w:hanging="360"/>
      </w:pPr>
      <w:rPr>
        <w:rFonts w:ascii="Wingdings" w:hAnsi="Wingdings" w:hint="default"/>
      </w:rPr>
    </w:lvl>
    <w:lvl w:ilvl="3" w:tplc="D49E2F3C" w:tentative="1">
      <w:start w:val="1"/>
      <w:numFmt w:val="bullet"/>
      <w:lvlText w:val=""/>
      <w:lvlJc w:val="left"/>
      <w:pPr>
        <w:tabs>
          <w:tab w:val="num" w:pos="2880"/>
        </w:tabs>
        <w:ind w:left="2880" w:hanging="360"/>
      </w:pPr>
      <w:rPr>
        <w:rFonts w:ascii="Symbol" w:hAnsi="Symbol" w:hint="default"/>
      </w:rPr>
    </w:lvl>
    <w:lvl w:ilvl="4" w:tplc="71460912" w:tentative="1">
      <w:start w:val="1"/>
      <w:numFmt w:val="bullet"/>
      <w:lvlText w:val="o"/>
      <w:lvlJc w:val="left"/>
      <w:pPr>
        <w:tabs>
          <w:tab w:val="num" w:pos="3600"/>
        </w:tabs>
        <w:ind w:left="3600" w:hanging="360"/>
      </w:pPr>
      <w:rPr>
        <w:rFonts w:ascii="Courier New" w:hAnsi="Courier New" w:hint="default"/>
      </w:rPr>
    </w:lvl>
    <w:lvl w:ilvl="5" w:tplc="61FEB896" w:tentative="1">
      <w:start w:val="1"/>
      <w:numFmt w:val="bullet"/>
      <w:lvlText w:val=""/>
      <w:lvlJc w:val="left"/>
      <w:pPr>
        <w:tabs>
          <w:tab w:val="num" w:pos="4320"/>
        </w:tabs>
        <w:ind w:left="4320" w:hanging="360"/>
      </w:pPr>
      <w:rPr>
        <w:rFonts w:ascii="Wingdings" w:hAnsi="Wingdings" w:hint="default"/>
      </w:rPr>
    </w:lvl>
    <w:lvl w:ilvl="6" w:tplc="C3C03E7A" w:tentative="1">
      <w:start w:val="1"/>
      <w:numFmt w:val="bullet"/>
      <w:lvlText w:val=""/>
      <w:lvlJc w:val="left"/>
      <w:pPr>
        <w:tabs>
          <w:tab w:val="num" w:pos="5040"/>
        </w:tabs>
        <w:ind w:left="5040" w:hanging="360"/>
      </w:pPr>
      <w:rPr>
        <w:rFonts w:ascii="Symbol" w:hAnsi="Symbol" w:hint="default"/>
      </w:rPr>
    </w:lvl>
    <w:lvl w:ilvl="7" w:tplc="4DB23DCE" w:tentative="1">
      <w:start w:val="1"/>
      <w:numFmt w:val="bullet"/>
      <w:lvlText w:val="o"/>
      <w:lvlJc w:val="left"/>
      <w:pPr>
        <w:tabs>
          <w:tab w:val="num" w:pos="5760"/>
        </w:tabs>
        <w:ind w:left="5760" w:hanging="360"/>
      </w:pPr>
      <w:rPr>
        <w:rFonts w:ascii="Courier New" w:hAnsi="Courier New" w:hint="default"/>
      </w:rPr>
    </w:lvl>
    <w:lvl w:ilvl="8" w:tplc="8E48C9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14512"/>
    <w:multiLevelType w:val="hybridMultilevel"/>
    <w:tmpl w:val="09C88826"/>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2043554268">
    <w:abstractNumId w:val="19"/>
  </w:num>
  <w:num w:numId="2" w16cid:durableId="2041592508">
    <w:abstractNumId w:val="1"/>
  </w:num>
  <w:num w:numId="3" w16cid:durableId="82143929">
    <w:abstractNumId w:val="17"/>
  </w:num>
  <w:num w:numId="4" w16cid:durableId="1529247973">
    <w:abstractNumId w:val="6"/>
  </w:num>
  <w:num w:numId="5" w16cid:durableId="1554082162">
    <w:abstractNumId w:val="3"/>
  </w:num>
  <w:num w:numId="6" w16cid:durableId="180820392">
    <w:abstractNumId w:val="2"/>
  </w:num>
  <w:num w:numId="7" w16cid:durableId="861237513">
    <w:abstractNumId w:val="11"/>
  </w:num>
  <w:num w:numId="8" w16cid:durableId="1742017260">
    <w:abstractNumId w:val="15"/>
  </w:num>
  <w:num w:numId="9" w16cid:durableId="1758674169">
    <w:abstractNumId w:val="16"/>
  </w:num>
  <w:num w:numId="10" w16cid:durableId="984166024">
    <w:abstractNumId w:val="14"/>
  </w:num>
  <w:num w:numId="11" w16cid:durableId="1222641826">
    <w:abstractNumId w:val="7"/>
  </w:num>
  <w:num w:numId="12" w16cid:durableId="572810677">
    <w:abstractNumId w:val="4"/>
  </w:num>
  <w:num w:numId="13" w16cid:durableId="2113822560">
    <w:abstractNumId w:val="12"/>
  </w:num>
  <w:num w:numId="14" w16cid:durableId="1290630911">
    <w:abstractNumId w:val="10"/>
  </w:num>
  <w:num w:numId="15" w16cid:durableId="244150745">
    <w:abstractNumId w:val="20"/>
  </w:num>
  <w:num w:numId="16" w16cid:durableId="999429779">
    <w:abstractNumId w:val="8"/>
  </w:num>
  <w:num w:numId="17" w16cid:durableId="325020307">
    <w:abstractNumId w:val="18"/>
  </w:num>
  <w:num w:numId="18" w16cid:durableId="698505476">
    <w:abstractNumId w:val="0"/>
  </w:num>
  <w:num w:numId="19" w16cid:durableId="1823934982">
    <w:abstractNumId w:val="9"/>
  </w:num>
  <w:num w:numId="20" w16cid:durableId="1654412972">
    <w:abstractNumId w:val="5"/>
  </w:num>
  <w:num w:numId="21" w16cid:durableId="143544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B15C8F-6108-479B-9B7D-87E2C8404899}"/>
    <w:docVar w:name="dgnword-eventsink" w:val="80870608"/>
  </w:docVars>
  <w:rsids>
    <w:rsidRoot w:val="0029332B"/>
    <w:rsid w:val="000010FA"/>
    <w:rsid w:val="00011123"/>
    <w:rsid w:val="00016D38"/>
    <w:rsid w:val="0003231B"/>
    <w:rsid w:val="00036793"/>
    <w:rsid w:val="00073BA6"/>
    <w:rsid w:val="00075F3C"/>
    <w:rsid w:val="00076087"/>
    <w:rsid w:val="00082946"/>
    <w:rsid w:val="00090665"/>
    <w:rsid w:val="0009147C"/>
    <w:rsid w:val="000E3376"/>
    <w:rsid w:val="000E46C0"/>
    <w:rsid w:val="00102F61"/>
    <w:rsid w:val="00117420"/>
    <w:rsid w:val="0013615F"/>
    <w:rsid w:val="00137072"/>
    <w:rsid w:val="00183D71"/>
    <w:rsid w:val="001864FD"/>
    <w:rsid w:val="001964E7"/>
    <w:rsid w:val="001A3764"/>
    <w:rsid w:val="001E2325"/>
    <w:rsid w:val="00226124"/>
    <w:rsid w:val="002474A6"/>
    <w:rsid w:val="00252B56"/>
    <w:rsid w:val="002539E4"/>
    <w:rsid w:val="0029332B"/>
    <w:rsid w:val="002A592B"/>
    <w:rsid w:val="002B3B69"/>
    <w:rsid w:val="002C085A"/>
    <w:rsid w:val="002C1E4C"/>
    <w:rsid w:val="002D0A13"/>
    <w:rsid w:val="002E36DB"/>
    <w:rsid w:val="00335BC4"/>
    <w:rsid w:val="0034408F"/>
    <w:rsid w:val="0035428D"/>
    <w:rsid w:val="00375626"/>
    <w:rsid w:val="0038398A"/>
    <w:rsid w:val="003A2672"/>
    <w:rsid w:val="003B77C2"/>
    <w:rsid w:val="003C3452"/>
    <w:rsid w:val="003C4221"/>
    <w:rsid w:val="003D1B0F"/>
    <w:rsid w:val="003D5C27"/>
    <w:rsid w:val="00407189"/>
    <w:rsid w:val="00411C69"/>
    <w:rsid w:val="00441216"/>
    <w:rsid w:val="00472DB6"/>
    <w:rsid w:val="004D4371"/>
    <w:rsid w:val="004F673D"/>
    <w:rsid w:val="00512280"/>
    <w:rsid w:val="00516BD7"/>
    <w:rsid w:val="00517F21"/>
    <w:rsid w:val="00523065"/>
    <w:rsid w:val="0057463C"/>
    <w:rsid w:val="00593636"/>
    <w:rsid w:val="005A5236"/>
    <w:rsid w:val="005E5ADC"/>
    <w:rsid w:val="00601C2A"/>
    <w:rsid w:val="00604896"/>
    <w:rsid w:val="006152D1"/>
    <w:rsid w:val="00616610"/>
    <w:rsid w:val="0063597D"/>
    <w:rsid w:val="00646AF8"/>
    <w:rsid w:val="006654E7"/>
    <w:rsid w:val="0066721C"/>
    <w:rsid w:val="006808D9"/>
    <w:rsid w:val="006833D5"/>
    <w:rsid w:val="00683AA5"/>
    <w:rsid w:val="00693933"/>
    <w:rsid w:val="006D684B"/>
    <w:rsid w:val="00713458"/>
    <w:rsid w:val="00722ED3"/>
    <w:rsid w:val="00734CB0"/>
    <w:rsid w:val="00742C34"/>
    <w:rsid w:val="0074637A"/>
    <w:rsid w:val="00765FFF"/>
    <w:rsid w:val="0077782B"/>
    <w:rsid w:val="00787D59"/>
    <w:rsid w:val="00792C2C"/>
    <w:rsid w:val="007B0DCF"/>
    <w:rsid w:val="007D15CE"/>
    <w:rsid w:val="007D7892"/>
    <w:rsid w:val="00811D4A"/>
    <w:rsid w:val="00817F2F"/>
    <w:rsid w:val="008305D7"/>
    <w:rsid w:val="008559B5"/>
    <w:rsid w:val="00870685"/>
    <w:rsid w:val="008A24A1"/>
    <w:rsid w:val="008A252F"/>
    <w:rsid w:val="008B64FF"/>
    <w:rsid w:val="008D63AE"/>
    <w:rsid w:val="008E53BD"/>
    <w:rsid w:val="008F6862"/>
    <w:rsid w:val="009113A7"/>
    <w:rsid w:val="00926BBE"/>
    <w:rsid w:val="00931FEA"/>
    <w:rsid w:val="00932D0F"/>
    <w:rsid w:val="00947D77"/>
    <w:rsid w:val="00955B92"/>
    <w:rsid w:val="00961A42"/>
    <w:rsid w:val="00972866"/>
    <w:rsid w:val="009A1BF9"/>
    <w:rsid w:val="009C79AD"/>
    <w:rsid w:val="009D13CB"/>
    <w:rsid w:val="009F1FFC"/>
    <w:rsid w:val="00A37599"/>
    <w:rsid w:val="00A737F6"/>
    <w:rsid w:val="00A75E5B"/>
    <w:rsid w:val="00AB45EF"/>
    <w:rsid w:val="00AC0496"/>
    <w:rsid w:val="00AF78C3"/>
    <w:rsid w:val="00B20DE0"/>
    <w:rsid w:val="00B2430D"/>
    <w:rsid w:val="00B40357"/>
    <w:rsid w:val="00B5747B"/>
    <w:rsid w:val="00BC29FE"/>
    <w:rsid w:val="00BC402F"/>
    <w:rsid w:val="00BC4DAE"/>
    <w:rsid w:val="00BD3D70"/>
    <w:rsid w:val="00BD76E7"/>
    <w:rsid w:val="00BF4B41"/>
    <w:rsid w:val="00BF6720"/>
    <w:rsid w:val="00C00FE7"/>
    <w:rsid w:val="00C1071D"/>
    <w:rsid w:val="00C2049C"/>
    <w:rsid w:val="00C24E82"/>
    <w:rsid w:val="00C40FD3"/>
    <w:rsid w:val="00C52DB2"/>
    <w:rsid w:val="00C65C8F"/>
    <w:rsid w:val="00C65FBE"/>
    <w:rsid w:val="00C95B66"/>
    <w:rsid w:val="00CA1AA3"/>
    <w:rsid w:val="00CC5754"/>
    <w:rsid w:val="00CD431E"/>
    <w:rsid w:val="00D038E9"/>
    <w:rsid w:val="00D23164"/>
    <w:rsid w:val="00D37C48"/>
    <w:rsid w:val="00D67117"/>
    <w:rsid w:val="00D86626"/>
    <w:rsid w:val="00D95095"/>
    <w:rsid w:val="00E02136"/>
    <w:rsid w:val="00E24A15"/>
    <w:rsid w:val="00E25759"/>
    <w:rsid w:val="00E33071"/>
    <w:rsid w:val="00E41A7B"/>
    <w:rsid w:val="00E43CFF"/>
    <w:rsid w:val="00E4595B"/>
    <w:rsid w:val="00E67E65"/>
    <w:rsid w:val="00E726AC"/>
    <w:rsid w:val="00E72742"/>
    <w:rsid w:val="00E72841"/>
    <w:rsid w:val="00EA364E"/>
    <w:rsid w:val="00EC62A0"/>
    <w:rsid w:val="00ED5F93"/>
    <w:rsid w:val="00EE0803"/>
    <w:rsid w:val="00EF1D1F"/>
    <w:rsid w:val="00EF6867"/>
    <w:rsid w:val="00F0065D"/>
    <w:rsid w:val="00F00E82"/>
    <w:rsid w:val="00FA03E5"/>
    <w:rsid w:val="00FA489D"/>
    <w:rsid w:val="00FA6CAE"/>
    <w:rsid w:val="00FB2126"/>
    <w:rsid w:val="00FC0000"/>
    <w:rsid w:val="00FD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AAB73"/>
  <w15:docId w15:val="{2C1CDD3C-E94E-4B20-9806-54E9FCDE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5B"/>
    <w:rPr>
      <w:sz w:val="24"/>
    </w:rPr>
  </w:style>
  <w:style w:type="paragraph" w:styleId="Heading2">
    <w:name w:val="heading 2"/>
    <w:basedOn w:val="Normal"/>
    <w:link w:val="Heading2Char"/>
    <w:uiPriority w:val="9"/>
    <w:qFormat/>
    <w:rsid w:val="006808D9"/>
    <w:pPr>
      <w:spacing w:before="100" w:beforeAutospacing="1" w:after="100" w:afterAutospacing="1"/>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595B"/>
    <w:pPr>
      <w:tabs>
        <w:tab w:val="center" w:pos="4320"/>
        <w:tab w:val="right" w:pos="8640"/>
      </w:tabs>
    </w:pPr>
  </w:style>
  <w:style w:type="paragraph" w:styleId="Footer">
    <w:name w:val="footer"/>
    <w:basedOn w:val="Normal"/>
    <w:link w:val="FooterChar"/>
    <w:uiPriority w:val="99"/>
    <w:rsid w:val="00E4595B"/>
    <w:pPr>
      <w:tabs>
        <w:tab w:val="center" w:pos="4320"/>
        <w:tab w:val="right" w:pos="8640"/>
      </w:tabs>
    </w:pPr>
  </w:style>
  <w:style w:type="character" w:styleId="PageNumber">
    <w:name w:val="page number"/>
    <w:basedOn w:val="DefaultParagraphFont"/>
    <w:semiHidden/>
    <w:rsid w:val="00E4595B"/>
  </w:style>
  <w:style w:type="paragraph" w:styleId="BodyText">
    <w:name w:val="Body Text"/>
    <w:basedOn w:val="Normal"/>
    <w:semiHidden/>
    <w:rsid w:val="00E4595B"/>
    <w:pPr>
      <w:spacing w:after="240"/>
    </w:pPr>
    <w:rPr>
      <w:rFonts w:ascii="Arial" w:hAnsi="Arial" w:cs="Arial"/>
      <w:sz w:val="20"/>
    </w:rPr>
  </w:style>
  <w:style w:type="paragraph" w:styleId="NormalWeb">
    <w:name w:val="Normal (Web)"/>
    <w:basedOn w:val="Normal"/>
    <w:rsid w:val="00E4595B"/>
    <w:pPr>
      <w:spacing w:before="100" w:beforeAutospacing="1" w:after="100" w:afterAutospacing="1" w:line="300" w:lineRule="atLeast"/>
      <w:jc w:val="both"/>
    </w:pPr>
    <w:rPr>
      <w:rFonts w:ascii="Arial" w:eastAsia="Arial Unicode MS" w:hAnsi="Arial" w:cs="Arial"/>
      <w:color w:val="000000"/>
      <w:sz w:val="18"/>
      <w:szCs w:val="18"/>
      <w:lang w:val="en-AU"/>
    </w:rPr>
  </w:style>
  <w:style w:type="character" w:styleId="Emphasis">
    <w:name w:val="Emphasis"/>
    <w:basedOn w:val="DefaultParagraphFont"/>
    <w:qFormat/>
    <w:rsid w:val="00E4595B"/>
    <w:rPr>
      <w:i/>
      <w:iCs/>
    </w:rPr>
  </w:style>
  <w:style w:type="paragraph" w:styleId="FootnoteText">
    <w:name w:val="footnote text"/>
    <w:basedOn w:val="Normal"/>
    <w:link w:val="FootnoteTextChar"/>
    <w:uiPriority w:val="99"/>
    <w:semiHidden/>
    <w:unhideWhenUsed/>
    <w:rsid w:val="00082946"/>
    <w:rPr>
      <w:sz w:val="20"/>
    </w:rPr>
  </w:style>
  <w:style w:type="character" w:customStyle="1" w:styleId="FootnoteTextChar">
    <w:name w:val="Footnote Text Char"/>
    <w:basedOn w:val="DefaultParagraphFont"/>
    <w:link w:val="FootnoteText"/>
    <w:uiPriority w:val="99"/>
    <w:semiHidden/>
    <w:rsid w:val="00082946"/>
  </w:style>
  <w:style w:type="character" w:styleId="FootnoteReference">
    <w:name w:val="footnote reference"/>
    <w:basedOn w:val="DefaultParagraphFont"/>
    <w:uiPriority w:val="99"/>
    <w:semiHidden/>
    <w:unhideWhenUsed/>
    <w:rsid w:val="00082946"/>
    <w:rPr>
      <w:vertAlign w:val="superscript"/>
    </w:rPr>
  </w:style>
  <w:style w:type="table" w:styleId="TableGrid">
    <w:name w:val="Table Grid"/>
    <w:basedOn w:val="TableNormal"/>
    <w:uiPriority w:val="59"/>
    <w:rsid w:val="0051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D38"/>
    <w:rPr>
      <w:rFonts w:ascii="Tahoma" w:hAnsi="Tahoma" w:cs="Tahoma"/>
      <w:sz w:val="16"/>
      <w:szCs w:val="16"/>
    </w:rPr>
  </w:style>
  <w:style w:type="character" w:styleId="Hyperlink">
    <w:name w:val="Hyperlink"/>
    <w:rsid w:val="00C65FBE"/>
    <w:rPr>
      <w:strike w:val="0"/>
      <w:dstrike w:val="0"/>
      <w:color w:val="006699"/>
      <w:u w:val="none"/>
      <w:effect w:val="none"/>
    </w:rPr>
  </w:style>
  <w:style w:type="paragraph" w:styleId="ListParagraph">
    <w:name w:val="List Paragraph"/>
    <w:basedOn w:val="Normal"/>
    <w:uiPriority w:val="34"/>
    <w:qFormat/>
    <w:rsid w:val="008559B5"/>
    <w:pPr>
      <w:spacing w:after="160" w:line="259"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EF6867"/>
    <w:rPr>
      <w:sz w:val="16"/>
      <w:szCs w:val="16"/>
    </w:rPr>
  </w:style>
  <w:style w:type="paragraph" w:styleId="CommentText">
    <w:name w:val="annotation text"/>
    <w:basedOn w:val="Normal"/>
    <w:link w:val="CommentTextChar"/>
    <w:uiPriority w:val="99"/>
    <w:unhideWhenUsed/>
    <w:rsid w:val="00EF6867"/>
    <w:rPr>
      <w:sz w:val="20"/>
    </w:rPr>
  </w:style>
  <w:style w:type="character" w:customStyle="1" w:styleId="CommentTextChar">
    <w:name w:val="Comment Text Char"/>
    <w:basedOn w:val="DefaultParagraphFont"/>
    <w:link w:val="CommentText"/>
    <w:uiPriority w:val="99"/>
    <w:rsid w:val="00EF6867"/>
  </w:style>
  <w:style w:type="paragraph" w:styleId="CommentSubject">
    <w:name w:val="annotation subject"/>
    <w:basedOn w:val="CommentText"/>
    <w:next w:val="CommentText"/>
    <w:link w:val="CommentSubjectChar"/>
    <w:uiPriority w:val="99"/>
    <w:semiHidden/>
    <w:unhideWhenUsed/>
    <w:rsid w:val="00EF6867"/>
    <w:rPr>
      <w:b/>
      <w:bCs/>
    </w:rPr>
  </w:style>
  <w:style w:type="character" w:customStyle="1" w:styleId="CommentSubjectChar">
    <w:name w:val="Comment Subject Char"/>
    <w:basedOn w:val="CommentTextChar"/>
    <w:link w:val="CommentSubject"/>
    <w:uiPriority w:val="99"/>
    <w:semiHidden/>
    <w:rsid w:val="00EF6867"/>
    <w:rPr>
      <w:b/>
      <w:bCs/>
    </w:rPr>
  </w:style>
  <w:style w:type="character" w:styleId="UnresolvedMention">
    <w:name w:val="Unresolved Mention"/>
    <w:basedOn w:val="DefaultParagraphFont"/>
    <w:uiPriority w:val="99"/>
    <w:semiHidden/>
    <w:unhideWhenUsed/>
    <w:rsid w:val="00073BA6"/>
    <w:rPr>
      <w:color w:val="605E5C"/>
      <w:shd w:val="clear" w:color="auto" w:fill="E1DFDD"/>
    </w:rPr>
  </w:style>
  <w:style w:type="character" w:customStyle="1" w:styleId="FooterChar">
    <w:name w:val="Footer Char"/>
    <w:basedOn w:val="DefaultParagraphFont"/>
    <w:link w:val="Footer"/>
    <w:uiPriority w:val="99"/>
    <w:rsid w:val="00F00E82"/>
    <w:rPr>
      <w:sz w:val="24"/>
    </w:rPr>
  </w:style>
  <w:style w:type="character" w:customStyle="1" w:styleId="Heading2Char">
    <w:name w:val="Heading 2 Char"/>
    <w:basedOn w:val="DefaultParagraphFont"/>
    <w:link w:val="Heading2"/>
    <w:uiPriority w:val="9"/>
    <w:rsid w:val="006808D9"/>
    <w:rPr>
      <w:rFonts w:ascii="Times New Roman" w:hAnsi="Times New Roman"/>
      <w:b/>
      <w:bCs/>
      <w:sz w:val="36"/>
      <w:szCs w:val="36"/>
      <w:lang w:val="en-AU" w:eastAsia="en-AU"/>
    </w:rPr>
  </w:style>
  <w:style w:type="paragraph" w:customStyle="1" w:styleId="gv4p8b0">
    <w:name w:val="gv4p8b0"/>
    <w:basedOn w:val="Normal"/>
    <w:rsid w:val="006808D9"/>
    <w:pPr>
      <w:spacing w:before="100" w:beforeAutospacing="1" w:after="100" w:afterAutospacing="1"/>
    </w:pPr>
    <w:rPr>
      <w:rFonts w:ascii="Times New Roman" w:hAnsi="Times New Roman"/>
      <w:szCs w:val="24"/>
      <w:lang w:val="en-AU" w:eastAsia="en-AU"/>
    </w:rPr>
  </w:style>
  <w:style w:type="paragraph" w:styleId="Revision">
    <w:name w:val="Revision"/>
    <w:hidden/>
    <w:uiPriority w:val="99"/>
    <w:semiHidden/>
    <w:rsid w:val="00931FEA"/>
    <w:rPr>
      <w:sz w:val="24"/>
    </w:rPr>
  </w:style>
  <w:style w:type="character" w:styleId="FollowedHyperlink">
    <w:name w:val="FollowedHyperlink"/>
    <w:basedOn w:val="DefaultParagraphFont"/>
    <w:uiPriority w:val="99"/>
    <w:semiHidden/>
    <w:unhideWhenUsed/>
    <w:rsid w:val="00C00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mrc.gov.au/sites/default/files/documents/attachments/grant%20documents/The-australian-code-for-the-responsible-conduct-of-research-2018.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uytsia@dbca.wa.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fo.orcid.org/what-is-or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orabase.dbca.wa.gov.au/nuytsia/documents/submission-form.docx" TargetMode="External"/><Relationship Id="rId5" Type="http://schemas.openxmlformats.org/officeDocument/2006/relationships/styles" Target="styles.xml"/><Relationship Id="rId15" Type="http://schemas.openxmlformats.org/officeDocument/2006/relationships/hyperlink" Target="https://www.elsevier.com/en-au/researcher/author/policies-and-guidelines/credit-author-statement" TargetMode="External"/><Relationship Id="rId10" Type="http://schemas.openxmlformats.org/officeDocument/2006/relationships/hyperlink" Target="https://publicationethics.org/about/our-organisatio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mje.org/icmje-recommenda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BC9001832E134DB85362025E204525" ma:contentTypeVersion="17" ma:contentTypeDescription="Create a new document." ma:contentTypeScope="" ma:versionID="8079957cefe0f0d271ad39caf7084290">
  <xsd:schema xmlns:xsd="http://www.w3.org/2001/XMLSchema" xmlns:xs="http://www.w3.org/2001/XMLSchema" xmlns:p="http://schemas.microsoft.com/office/2006/metadata/properties" xmlns:ns2="55ca275b-0357-40e1-a84a-befc00426bb9" xmlns:ns3="c13f050f-804f-402a-8b64-504802f6dee7" targetNamespace="http://schemas.microsoft.com/office/2006/metadata/properties" ma:root="true" ma:fieldsID="f90daaa4b9852d46f5d42e88d1c690b1" ns2:_="" ns3:_="">
    <xsd:import namespace="55ca275b-0357-40e1-a84a-befc00426bb9"/>
    <xsd:import namespace="c13f050f-804f-402a-8b64-504802f6d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275b-0357-40e1-a84a-befc00426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f050f-804f-402a-8b64-504802f6d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55b6a-13b8-4019-9cdd-dd59bc8e403c}" ma:internalName="TaxCatchAll" ma:showField="CatchAllData" ma:web="c13f050f-804f-402a-8b64-504802f6d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ca275b-0357-40e1-a84a-befc00426bb9">
      <Terms xmlns="http://schemas.microsoft.com/office/infopath/2007/PartnerControls"/>
    </lcf76f155ced4ddcb4097134ff3c332f>
    <TaxCatchAll xmlns="c13f050f-804f-402a-8b64-504802f6dee7" xsi:nil="true"/>
  </documentManagement>
</p:properties>
</file>

<file path=customXml/itemProps1.xml><?xml version="1.0" encoding="utf-8"?>
<ds:datastoreItem xmlns:ds="http://schemas.openxmlformats.org/officeDocument/2006/customXml" ds:itemID="{D72BFD49-E802-45DC-8C74-40DB07294321}">
  <ds:schemaRefs>
    <ds:schemaRef ds:uri="http://schemas.microsoft.com/sharepoint/v3/contenttype/forms"/>
  </ds:schemaRefs>
</ds:datastoreItem>
</file>

<file path=customXml/itemProps2.xml><?xml version="1.0" encoding="utf-8"?>
<ds:datastoreItem xmlns:ds="http://schemas.openxmlformats.org/officeDocument/2006/customXml" ds:itemID="{FA069DF4-483A-42C6-9135-FC82107F7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275b-0357-40e1-a84a-befc00426bb9"/>
    <ds:schemaRef ds:uri="c13f050f-804f-402a-8b64-504802f6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8CEF6-5655-4124-8323-7D42B1351927}">
  <ds:schemaRefs>
    <ds:schemaRef ds:uri="http://schemas.microsoft.com/office/2006/metadata/properties"/>
    <ds:schemaRef ds:uri="http://schemas.microsoft.com/office/infopath/2007/PartnerControls"/>
    <ds:schemaRef ds:uri="55ca275b-0357-40e1-a84a-befc00426bb9"/>
    <ds:schemaRef ds:uri="c13f050f-804f-402a-8b64-504802f6de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referee's report</vt:lpstr>
    </vt:vector>
  </TitlesOfParts>
  <Company>Royal Botanic Gardens</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referee's report</dc:title>
  <dc:creator>Reviewer1</dc:creator>
  <cp:lastModifiedBy>KA Shepherd</cp:lastModifiedBy>
  <cp:revision>2</cp:revision>
  <cp:lastPrinted>2013-01-21T07:28:00Z</cp:lastPrinted>
  <dcterms:created xsi:type="dcterms:W3CDTF">2024-03-18T02:43:00Z</dcterms:created>
  <dcterms:modified xsi:type="dcterms:W3CDTF">2024-03-18T02:43:00Z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0x010100B2BC9001832E134DB85362025E204525</vt:lpwstr>
  </property>
  <property fmtid="{D5CDD505-2E9C-101B-9397-08002B2CF9AE}" pid="3" name="MediaServiceImageTags">
    <vt:lpwstr/>
  </property>
</Properties>
</file>